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264" w:rsidRDefault="00E37034" w:rsidP="00125264">
      <w:pPr>
        <w:jc w:val="center"/>
        <w:rPr>
          <w:rFonts w:ascii="Times New Roman" w:hAnsi="Times New Roman" w:cs="Times New Roman"/>
          <w:sz w:val="32"/>
        </w:rPr>
      </w:pPr>
      <w:r>
        <w:rPr>
          <w:noProof/>
          <w:lang w:eastAsia="ru-RU"/>
        </w:rPr>
        <w:drawing>
          <wp:inline distT="0" distB="0" distL="0" distR="0" wp14:anchorId="2EE6A428" wp14:editId="5C5F3E14">
            <wp:extent cx="5012055" cy="1557655"/>
            <wp:effectExtent l="0" t="0" r="0" b="0"/>
            <wp:docPr id="1" name="Рисунок 1" descr="&quot;лого_фарм.png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quot;лого_фарм.png&quot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2055" cy="155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264" w:rsidRDefault="00125264" w:rsidP="00125264">
      <w:pPr>
        <w:jc w:val="center"/>
        <w:rPr>
          <w:rFonts w:ascii="Times New Roman" w:hAnsi="Times New Roman" w:cs="Times New Roman"/>
          <w:sz w:val="32"/>
        </w:rPr>
      </w:pPr>
    </w:p>
    <w:p w:rsidR="00125264" w:rsidRDefault="00125264" w:rsidP="00125264">
      <w:pPr>
        <w:jc w:val="center"/>
        <w:rPr>
          <w:rFonts w:ascii="Times New Roman" w:hAnsi="Times New Roman" w:cs="Times New Roman"/>
          <w:sz w:val="32"/>
        </w:rPr>
      </w:pPr>
    </w:p>
    <w:p w:rsidR="00125264" w:rsidRDefault="00125264" w:rsidP="00125264">
      <w:pPr>
        <w:jc w:val="center"/>
        <w:rPr>
          <w:rFonts w:ascii="Times New Roman" w:hAnsi="Times New Roman" w:cs="Times New Roman"/>
          <w:sz w:val="32"/>
        </w:rPr>
      </w:pPr>
    </w:p>
    <w:p w:rsidR="00125264" w:rsidRDefault="00125264" w:rsidP="00125264">
      <w:pPr>
        <w:jc w:val="center"/>
        <w:rPr>
          <w:rFonts w:ascii="Times New Roman" w:hAnsi="Times New Roman" w:cs="Times New Roman"/>
          <w:sz w:val="32"/>
        </w:rPr>
      </w:pPr>
    </w:p>
    <w:p w:rsidR="00125264" w:rsidRDefault="00125264" w:rsidP="00125264">
      <w:pPr>
        <w:jc w:val="center"/>
        <w:rPr>
          <w:rFonts w:ascii="Times New Roman" w:hAnsi="Times New Roman" w:cs="Times New Roman"/>
          <w:sz w:val="32"/>
        </w:rPr>
      </w:pPr>
    </w:p>
    <w:p w:rsidR="00125264" w:rsidRDefault="00125264" w:rsidP="00125264">
      <w:pPr>
        <w:jc w:val="center"/>
        <w:rPr>
          <w:rFonts w:ascii="Times New Roman" w:hAnsi="Times New Roman" w:cs="Times New Roman"/>
          <w:sz w:val="32"/>
        </w:rPr>
      </w:pPr>
    </w:p>
    <w:p w:rsidR="00125264" w:rsidRDefault="00125264" w:rsidP="00125264">
      <w:pPr>
        <w:jc w:val="center"/>
        <w:rPr>
          <w:rFonts w:ascii="Times New Roman" w:hAnsi="Times New Roman" w:cs="Times New Roman"/>
          <w:sz w:val="32"/>
        </w:rPr>
      </w:pPr>
    </w:p>
    <w:p w:rsidR="00125264" w:rsidRDefault="00125264" w:rsidP="00125264">
      <w:pPr>
        <w:jc w:val="center"/>
        <w:rPr>
          <w:rFonts w:ascii="Times New Roman" w:hAnsi="Times New Roman" w:cs="Times New Roman"/>
          <w:sz w:val="32"/>
        </w:rPr>
      </w:pPr>
      <w:r w:rsidRPr="00125264">
        <w:rPr>
          <w:rFonts w:ascii="Times New Roman" w:hAnsi="Times New Roman" w:cs="Times New Roman"/>
          <w:sz w:val="32"/>
        </w:rPr>
        <w:t xml:space="preserve">ИНСТРУКЦИЯ ПО МЕДИЦИНСКОМУ ПРИМЕНЕНИЮ ЛЕКАРСТВЕННОГО ПРЕПАРАТА </w:t>
      </w:r>
    </w:p>
    <w:p w:rsidR="000C55D7" w:rsidRDefault="00125264" w:rsidP="00125264">
      <w:pPr>
        <w:jc w:val="center"/>
        <w:rPr>
          <w:rFonts w:ascii="Times New Roman" w:hAnsi="Times New Roman" w:cs="Times New Roman"/>
          <w:sz w:val="32"/>
        </w:rPr>
      </w:pPr>
      <w:r w:rsidRPr="00125264">
        <w:rPr>
          <w:rFonts w:ascii="Times New Roman" w:hAnsi="Times New Roman" w:cs="Times New Roman"/>
          <w:sz w:val="32"/>
        </w:rPr>
        <w:t>ПИКАМИЛОН</w:t>
      </w:r>
      <w:r w:rsidRPr="00125264">
        <w:rPr>
          <w:rFonts w:ascii="Times New Roman" w:hAnsi="Times New Roman" w:cs="Times New Roman"/>
          <w:sz w:val="32"/>
          <w:vertAlign w:val="superscript"/>
        </w:rPr>
        <w:t>®</w:t>
      </w:r>
    </w:p>
    <w:p w:rsidR="00125264" w:rsidRDefault="00125264" w:rsidP="00125264">
      <w:pPr>
        <w:jc w:val="center"/>
        <w:rPr>
          <w:rFonts w:ascii="Times New Roman" w:hAnsi="Times New Roman" w:cs="Times New Roman"/>
          <w:sz w:val="32"/>
        </w:rPr>
      </w:pPr>
    </w:p>
    <w:p w:rsidR="00125264" w:rsidRDefault="00125264" w:rsidP="00125264">
      <w:pPr>
        <w:jc w:val="center"/>
        <w:rPr>
          <w:rFonts w:ascii="Times New Roman" w:hAnsi="Times New Roman" w:cs="Times New Roman"/>
          <w:sz w:val="32"/>
        </w:rPr>
      </w:pPr>
    </w:p>
    <w:p w:rsidR="00125264" w:rsidRDefault="00125264" w:rsidP="00125264">
      <w:pPr>
        <w:jc w:val="center"/>
        <w:rPr>
          <w:rFonts w:ascii="Times New Roman" w:hAnsi="Times New Roman" w:cs="Times New Roman"/>
          <w:sz w:val="32"/>
        </w:rPr>
      </w:pPr>
    </w:p>
    <w:p w:rsidR="00125264" w:rsidRDefault="00125264" w:rsidP="00125264">
      <w:pPr>
        <w:jc w:val="center"/>
        <w:rPr>
          <w:rFonts w:ascii="Times New Roman" w:hAnsi="Times New Roman" w:cs="Times New Roman"/>
          <w:sz w:val="32"/>
        </w:rPr>
      </w:pPr>
    </w:p>
    <w:p w:rsidR="00125264" w:rsidRDefault="00125264" w:rsidP="00125264">
      <w:pPr>
        <w:jc w:val="center"/>
        <w:rPr>
          <w:rFonts w:ascii="Times New Roman" w:hAnsi="Times New Roman" w:cs="Times New Roman"/>
          <w:sz w:val="32"/>
        </w:rPr>
      </w:pPr>
    </w:p>
    <w:p w:rsidR="00125264" w:rsidRDefault="00125264" w:rsidP="00125264">
      <w:pPr>
        <w:jc w:val="center"/>
        <w:rPr>
          <w:rFonts w:ascii="Times New Roman" w:hAnsi="Times New Roman" w:cs="Times New Roman"/>
          <w:sz w:val="32"/>
        </w:rPr>
      </w:pPr>
    </w:p>
    <w:p w:rsidR="00125264" w:rsidRDefault="00125264" w:rsidP="00125264">
      <w:pPr>
        <w:jc w:val="center"/>
        <w:rPr>
          <w:rFonts w:ascii="Times New Roman" w:hAnsi="Times New Roman" w:cs="Times New Roman"/>
          <w:sz w:val="32"/>
        </w:rPr>
      </w:pPr>
    </w:p>
    <w:p w:rsidR="00125264" w:rsidRDefault="00125264" w:rsidP="00125264">
      <w:pPr>
        <w:jc w:val="center"/>
        <w:rPr>
          <w:rFonts w:ascii="Times New Roman" w:hAnsi="Times New Roman" w:cs="Times New Roman"/>
          <w:sz w:val="32"/>
        </w:rPr>
      </w:pPr>
    </w:p>
    <w:p w:rsidR="00125264" w:rsidRDefault="00125264" w:rsidP="00125264">
      <w:pPr>
        <w:jc w:val="center"/>
        <w:rPr>
          <w:rFonts w:ascii="Times New Roman" w:hAnsi="Times New Roman" w:cs="Times New Roman"/>
          <w:sz w:val="32"/>
        </w:rPr>
      </w:pPr>
    </w:p>
    <w:p w:rsidR="00125264" w:rsidRDefault="00125264" w:rsidP="00125264">
      <w:pPr>
        <w:jc w:val="center"/>
        <w:rPr>
          <w:rFonts w:ascii="Times New Roman" w:hAnsi="Times New Roman" w:cs="Times New Roman"/>
          <w:sz w:val="32"/>
        </w:rPr>
      </w:pPr>
    </w:p>
    <w:p w:rsidR="00125264" w:rsidRDefault="00125264" w:rsidP="00125264">
      <w:pPr>
        <w:jc w:val="center"/>
        <w:rPr>
          <w:rFonts w:ascii="Times New Roman" w:hAnsi="Times New Roman" w:cs="Times New Roman"/>
          <w:sz w:val="32"/>
        </w:rPr>
      </w:pPr>
    </w:p>
    <w:p w:rsidR="00125264" w:rsidRDefault="00125264" w:rsidP="00125264">
      <w:pPr>
        <w:jc w:val="center"/>
        <w:rPr>
          <w:rFonts w:ascii="Times New Roman" w:hAnsi="Times New Roman" w:cs="Times New Roman"/>
          <w:sz w:val="32"/>
        </w:rPr>
      </w:pPr>
    </w:p>
    <w:p w:rsidR="008E6E28" w:rsidRPr="008E6E28" w:rsidRDefault="008E6E28" w:rsidP="008E6E28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E6E28">
        <w:rPr>
          <w:rFonts w:ascii="Times New Roman" w:hAnsi="Times New Roman" w:cs="Times New Roman"/>
          <w:b/>
          <w:sz w:val="23"/>
          <w:szCs w:val="23"/>
        </w:rPr>
        <w:t>Оглавление</w:t>
      </w:r>
    </w:p>
    <w:p w:rsidR="000D4EDE" w:rsidRDefault="000D4EDE" w:rsidP="008E6E28">
      <w:pPr>
        <w:rPr>
          <w:rFonts w:ascii="Times New Roman" w:hAnsi="Times New Roman" w:cs="Times New Roman"/>
          <w:sz w:val="23"/>
          <w:szCs w:val="23"/>
        </w:rPr>
      </w:pPr>
    </w:p>
    <w:p w:rsidR="000D4EDE" w:rsidRPr="008E6E28" w:rsidRDefault="000D4EDE" w:rsidP="000D4EDE">
      <w:pPr>
        <w:rPr>
          <w:rFonts w:ascii="Times New Roman" w:hAnsi="Times New Roman" w:cs="Times New Roman"/>
          <w:sz w:val="23"/>
          <w:szCs w:val="23"/>
        </w:rPr>
      </w:pPr>
      <w:r w:rsidRPr="008E6E28">
        <w:rPr>
          <w:rFonts w:ascii="Times New Roman" w:hAnsi="Times New Roman" w:cs="Times New Roman"/>
          <w:sz w:val="23"/>
          <w:szCs w:val="23"/>
        </w:rPr>
        <w:t xml:space="preserve">Инструкция по медицинскому применению лекарственного препарата </w:t>
      </w:r>
      <w:proofErr w:type="spellStart"/>
      <w:r w:rsidRPr="008E6E28">
        <w:rPr>
          <w:rFonts w:ascii="Times New Roman" w:hAnsi="Times New Roman" w:cs="Times New Roman"/>
          <w:sz w:val="23"/>
          <w:szCs w:val="23"/>
        </w:rPr>
        <w:t>Пикамилон</w:t>
      </w:r>
      <w:proofErr w:type="spellEnd"/>
      <w:r w:rsidRPr="008E6E28">
        <w:rPr>
          <w:rFonts w:ascii="Times New Roman" w:hAnsi="Times New Roman" w:cs="Times New Roman"/>
          <w:sz w:val="23"/>
          <w:szCs w:val="23"/>
        </w:rPr>
        <w:t xml:space="preserve"> </w:t>
      </w:r>
    </w:p>
    <w:p w:rsidR="000D4EDE" w:rsidRDefault="000D4EDE" w:rsidP="000D4EDE">
      <w:pPr>
        <w:rPr>
          <w:rFonts w:ascii="Times New Roman" w:hAnsi="Times New Roman" w:cs="Times New Roman"/>
          <w:sz w:val="23"/>
          <w:szCs w:val="23"/>
        </w:rPr>
      </w:pPr>
      <w:r w:rsidRPr="008E6E28">
        <w:rPr>
          <w:rFonts w:ascii="Times New Roman" w:hAnsi="Times New Roman" w:cs="Times New Roman"/>
          <w:sz w:val="23"/>
          <w:szCs w:val="23"/>
        </w:rPr>
        <w:t xml:space="preserve">(раствор для внутривенного и внутримышечного </w:t>
      </w:r>
      <w:proofErr w:type="gramStart"/>
      <w:r w:rsidRPr="008E6E28">
        <w:rPr>
          <w:rFonts w:ascii="Times New Roman" w:hAnsi="Times New Roman" w:cs="Times New Roman"/>
          <w:sz w:val="23"/>
          <w:szCs w:val="23"/>
        </w:rPr>
        <w:t>введения)</w:t>
      </w:r>
      <w:r>
        <w:rPr>
          <w:rFonts w:ascii="Times New Roman" w:hAnsi="Times New Roman" w:cs="Times New Roman"/>
          <w:sz w:val="23"/>
          <w:szCs w:val="23"/>
        </w:rPr>
        <w:t>…</w:t>
      </w:r>
      <w:proofErr w:type="gramEnd"/>
      <w:r>
        <w:rPr>
          <w:rFonts w:ascii="Times New Roman" w:hAnsi="Times New Roman" w:cs="Times New Roman"/>
          <w:sz w:val="23"/>
          <w:szCs w:val="23"/>
        </w:rPr>
        <w:t>…….………………………..3</w:t>
      </w:r>
    </w:p>
    <w:p w:rsidR="000D4EDE" w:rsidRDefault="000D4EDE" w:rsidP="000D4EDE">
      <w:pPr>
        <w:rPr>
          <w:rFonts w:ascii="Times New Roman" w:hAnsi="Times New Roman" w:cs="Times New Roman"/>
          <w:sz w:val="23"/>
          <w:szCs w:val="23"/>
        </w:rPr>
      </w:pPr>
    </w:p>
    <w:p w:rsidR="008E6E28" w:rsidRPr="008E6E28" w:rsidRDefault="008E6E28" w:rsidP="008E6E28">
      <w:pPr>
        <w:rPr>
          <w:rFonts w:ascii="Times New Roman" w:hAnsi="Times New Roman" w:cs="Times New Roman"/>
          <w:sz w:val="23"/>
          <w:szCs w:val="23"/>
        </w:rPr>
      </w:pPr>
      <w:r w:rsidRPr="008E6E28">
        <w:rPr>
          <w:rFonts w:ascii="Times New Roman" w:hAnsi="Times New Roman" w:cs="Times New Roman"/>
          <w:sz w:val="23"/>
          <w:szCs w:val="23"/>
        </w:rPr>
        <w:t xml:space="preserve">Инструкция по медицинскому применению лекарственного препарата </w:t>
      </w:r>
      <w:proofErr w:type="spellStart"/>
      <w:r w:rsidRPr="008E6E28">
        <w:rPr>
          <w:rFonts w:ascii="Times New Roman" w:hAnsi="Times New Roman" w:cs="Times New Roman"/>
          <w:sz w:val="23"/>
          <w:szCs w:val="23"/>
        </w:rPr>
        <w:t>Пикамилон</w:t>
      </w:r>
      <w:proofErr w:type="spellEnd"/>
    </w:p>
    <w:p w:rsidR="008E6E28" w:rsidRPr="008E6E28" w:rsidRDefault="000D4EDE" w:rsidP="008E6E28">
      <w:p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(таблетки)…………………………………………………………………………………………9</w:t>
      </w:r>
    </w:p>
    <w:p w:rsidR="000D4EDE" w:rsidRDefault="000D4EDE" w:rsidP="008E6E28">
      <w:pPr>
        <w:rPr>
          <w:rFonts w:ascii="Times New Roman" w:hAnsi="Times New Roman" w:cs="Times New Roman"/>
          <w:sz w:val="23"/>
          <w:szCs w:val="23"/>
        </w:rPr>
      </w:pPr>
    </w:p>
    <w:p w:rsidR="008E6E28" w:rsidRPr="008E6E28" w:rsidRDefault="008E6E28" w:rsidP="008E6E28">
      <w:pPr>
        <w:rPr>
          <w:rFonts w:ascii="Times New Roman" w:hAnsi="Times New Roman" w:cs="Times New Roman"/>
          <w:sz w:val="23"/>
          <w:szCs w:val="23"/>
        </w:rPr>
      </w:pPr>
      <w:r w:rsidRPr="008E6E28">
        <w:rPr>
          <w:rFonts w:ascii="Times New Roman" w:hAnsi="Times New Roman" w:cs="Times New Roman"/>
          <w:sz w:val="23"/>
          <w:szCs w:val="23"/>
        </w:rPr>
        <w:t xml:space="preserve">Инструкция по медицинскому применению лекарственного препарата </w:t>
      </w:r>
      <w:proofErr w:type="spellStart"/>
      <w:r w:rsidRPr="008E6E28">
        <w:rPr>
          <w:rFonts w:ascii="Times New Roman" w:hAnsi="Times New Roman" w:cs="Times New Roman"/>
          <w:sz w:val="23"/>
          <w:szCs w:val="23"/>
        </w:rPr>
        <w:t>Пикамилон</w:t>
      </w:r>
      <w:proofErr w:type="spellEnd"/>
      <w:r w:rsidRPr="008E6E28">
        <w:rPr>
          <w:rFonts w:ascii="Times New Roman" w:hAnsi="Times New Roman" w:cs="Times New Roman"/>
          <w:sz w:val="23"/>
          <w:szCs w:val="23"/>
        </w:rPr>
        <w:t xml:space="preserve"> </w:t>
      </w:r>
    </w:p>
    <w:p w:rsidR="008E6E28" w:rsidRPr="008E6E28" w:rsidRDefault="008E6E28" w:rsidP="008E6E28">
      <w:pPr>
        <w:rPr>
          <w:rFonts w:ascii="Times New Roman" w:hAnsi="Times New Roman" w:cs="Times New Roman"/>
          <w:sz w:val="23"/>
          <w:szCs w:val="23"/>
        </w:rPr>
      </w:pPr>
      <w:r w:rsidRPr="008E6E28">
        <w:rPr>
          <w:rFonts w:ascii="Times New Roman" w:hAnsi="Times New Roman" w:cs="Times New Roman"/>
          <w:sz w:val="23"/>
          <w:szCs w:val="23"/>
        </w:rPr>
        <w:t xml:space="preserve">(раствор для приема </w:t>
      </w:r>
      <w:proofErr w:type="gramStart"/>
      <w:r w:rsidRPr="008E6E28">
        <w:rPr>
          <w:rFonts w:ascii="Times New Roman" w:hAnsi="Times New Roman" w:cs="Times New Roman"/>
          <w:sz w:val="23"/>
          <w:szCs w:val="23"/>
        </w:rPr>
        <w:t>внутрь</w:t>
      </w:r>
      <w:r w:rsidR="000D4EDE">
        <w:rPr>
          <w:rFonts w:ascii="Times New Roman" w:hAnsi="Times New Roman" w:cs="Times New Roman"/>
          <w:sz w:val="23"/>
          <w:szCs w:val="23"/>
        </w:rPr>
        <w:t>)…</w:t>
      </w:r>
      <w:proofErr w:type="gramEnd"/>
      <w:r w:rsidR="000D4EDE">
        <w:rPr>
          <w:rFonts w:ascii="Times New Roman" w:hAnsi="Times New Roman" w:cs="Times New Roman"/>
          <w:sz w:val="23"/>
          <w:szCs w:val="23"/>
        </w:rPr>
        <w:t>………………………………………………………………….14</w:t>
      </w:r>
    </w:p>
    <w:p w:rsidR="008E6E28" w:rsidRDefault="008E6E28" w:rsidP="00125264">
      <w:pPr>
        <w:jc w:val="center"/>
        <w:rPr>
          <w:rFonts w:ascii="Times New Roman" w:hAnsi="Times New Roman" w:cs="Times New Roman"/>
          <w:sz w:val="32"/>
        </w:rPr>
      </w:pPr>
    </w:p>
    <w:p w:rsidR="000D4EDE" w:rsidRDefault="000D4EDE" w:rsidP="00125264">
      <w:pPr>
        <w:jc w:val="center"/>
        <w:rPr>
          <w:rFonts w:ascii="Times New Roman" w:hAnsi="Times New Roman" w:cs="Times New Roman"/>
          <w:sz w:val="32"/>
        </w:rPr>
      </w:pPr>
    </w:p>
    <w:p w:rsidR="000D4EDE" w:rsidRDefault="000D4EDE" w:rsidP="00125264">
      <w:pPr>
        <w:jc w:val="center"/>
        <w:rPr>
          <w:rFonts w:ascii="Times New Roman" w:hAnsi="Times New Roman" w:cs="Times New Roman"/>
          <w:sz w:val="32"/>
        </w:rPr>
      </w:pPr>
    </w:p>
    <w:p w:rsidR="000D4EDE" w:rsidRDefault="000D4EDE" w:rsidP="00125264">
      <w:pPr>
        <w:jc w:val="center"/>
        <w:rPr>
          <w:rFonts w:ascii="Times New Roman" w:hAnsi="Times New Roman" w:cs="Times New Roman"/>
          <w:sz w:val="32"/>
        </w:rPr>
      </w:pPr>
    </w:p>
    <w:p w:rsidR="000D4EDE" w:rsidRDefault="000D4EDE" w:rsidP="00125264">
      <w:pPr>
        <w:jc w:val="center"/>
        <w:rPr>
          <w:rFonts w:ascii="Times New Roman" w:hAnsi="Times New Roman" w:cs="Times New Roman"/>
          <w:sz w:val="32"/>
        </w:rPr>
      </w:pPr>
    </w:p>
    <w:p w:rsidR="000D4EDE" w:rsidRDefault="000D4EDE" w:rsidP="00125264">
      <w:pPr>
        <w:jc w:val="center"/>
        <w:rPr>
          <w:rFonts w:ascii="Times New Roman" w:hAnsi="Times New Roman" w:cs="Times New Roman"/>
          <w:sz w:val="32"/>
        </w:rPr>
      </w:pPr>
    </w:p>
    <w:p w:rsidR="000D4EDE" w:rsidRDefault="000D4EDE" w:rsidP="00125264">
      <w:pPr>
        <w:jc w:val="center"/>
        <w:rPr>
          <w:rFonts w:ascii="Times New Roman" w:hAnsi="Times New Roman" w:cs="Times New Roman"/>
          <w:sz w:val="32"/>
        </w:rPr>
      </w:pPr>
    </w:p>
    <w:p w:rsidR="000D4EDE" w:rsidRDefault="000D4EDE" w:rsidP="00125264">
      <w:pPr>
        <w:jc w:val="center"/>
        <w:rPr>
          <w:rFonts w:ascii="Times New Roman" w:hAnsi="Times New Roman" w:cs="Times New Roman"/>
          <w:sz w:val="32"/>
        </w:rPr>
      </w:pPr>
    </w:p>
    <w:p w:rsidR="000D4EDE" w:rsidRDefault="000D4EDE" w:rsidP="00125264">
      <w:pPr>
        <w:jc w:val="center"/>
        <w:rPr>
          <w:rFonts w:ascii="Times New Roman" w:hAnsi="Times New Roman" w:cs="Times New Roman"/>
          <w:sz w:val="32"/>
        </w:rPr>
      </w:pPr>
    </w:p>
    <w:p w:rsidR="000D4EDE" w:rsidRDefault="000D4EDE" w:rsidP="00125264">
      <w:pPr>
        <w:jc w:val="center"/>
        <w:rPr>
          <w:rFonts w:ascii="Times New Roman" w:hAnsi="Times New Roman" w:cs="Times New Roman"/>
          <w:sz w:val="32"/>
        </w:rPr>
      </w:pPr>
    </w:p>
    <w:p w:rsidR="000D4EDE" w:rsidRDefault="000D4EDE" w:rsidP="00125264">
      <w:pPr>
        <w:jc w:val="center"/>
        <w:rPr>
          <w:rFonts w:ascii="Times New Roman" w:hAnsi="Times New Roman" w:cs="Times New Roman"/>
          <w:sz w:val="32"/>
        </w:rPr>
      </w:pPr>
    </w:p>
    <w:p w:rsidR="000D4EDE" w:rsidRDefault="000D4EDE" w:rsidP="00125264">
      <w:pPr>
        <w:jc w:val="center"/>
        <w:rPr>
          <w:rFonts w:ascii="Times New Roman" w:hAnsi="Times New Roman" w:cs="Times New Roman"/>
          <w:sz w:val="32"/>
        </w:rPr>
      </w:pPr>
    </w:p>
    <w:p w:rsidR="000D4EDE" w:rsidRDefault="000D4EDE" w:rsidP="00125264">
      <w:pPr>
        <w:jc w:val="center"/>
        <w:rPr>
          <w:rFonts w:ascii="Times New Roman" w:hAnsi="Times New Roman" w:cs="Times New Roman"/>
          <w:sz w:val="32"/>
        </w:rPr>
      </w:pPr>
    </w:p>
    <w:p w:rsidR="000D4EDE" w:rsidRDefault="000D4EDE" w:rsidP="00125264">
      <w:pPr>
        <w:jc w:val="center"/>
        <w:rPr>
          <w:rFonts w:ascii="Times New Roman" w:hAnsi="Times New Roman" w:cs="Times New Roman"/>
          <w:sz w:val="32"/>
        </w:rPr>
      </w:pPr>
    </w:p>
    <w:p w:rsidR="000D4EDE" w:rsidRDefault="000D4EDE" w:rsidP="00125264">
      <w:pPr>
        <w:jc w:val="center"/>
        <w:rPr>
          <w:rFonts w:ascii="Times New Roman" w:hAnsi="Times New Roman" w:cs="Times New Roman"/>
          <w:sz w:val="32"/>
        </w:rPr>
      </w:pPr>
    </w:p>
    <w:p w:rsidR="000D4EDE" w:rsidRDefault="000D4EDE" w:rsidP="00125264">
      <w:pPr>
        <w:jc w:val="center"/>
        <w:rPr>
          <w:rFonts w:ascii="Times New Roman" w:hAnsi="Times New Roman" w:cs="Times New Roman"/>
          <w:sz w:val="32"/>
        </w:rPr>
      </w:pPr>
    </w:p>
    <w:p w:rsidR="000D4EDE" w:rsidRDefault="000D4EDE" w:rsidP="00125264">
      <w:pPr>
        <w:jc w:val="center"/>
        <w:rPr>
          <w:rFonts w:ascii="Times New Roman" w:hAnsi="Times New Roman" w:cs="Times New Roman"/>
          <w:sz w:val="32"/>
        </w:rPr>
      </w:pPr>
    </w:p>
    <w:p w:rsidR="00125264" w:rsidRPr="00125264" w:rsidRDefault="00125264" w:rsidP="00125264">
      <w:pPr>
        <w:jc w:val="center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lastRenderedPageBreak/>
        <w:t xml:space="preserve">ИНСТРУКЦИЯ </w:t>
      </w:r>
    </w:p>
    <w:p w:rsidR="00125264" w:rsidRPr="00125264" w:rsidRDefault="00125264" w:rsidP="00125264">
      <w:pPr>
        <w:jc w:val="center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ПО МЕДИЦИНСКОМУ ПРИМЕНЕНИЮ ЛЕКАРСТВЕННОГО ПРЕПАРАТА </w:t>
      </w:r>
    </w:p>
    <w:p w:rsidR="00125264" w:rsidRPr="00125264" w:rsidRDefault="00125264" w:rsidP="00125264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>ПИКАМИЛОН®</w:t>
      </w:r>
    </w:p>
    <w:p w:rsid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</w:p>
    <w:p w:rsidR="00125264" w:rsidRP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Регистрационный номер: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>Торговое наименование:</w:t>
      </w:r>
      <w:r w:rsidRPr="00125264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Пикамилон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>®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МНН или </w:t>
      </w:r>
      <w:proofErr w:type="spellStart"/>
      <w:r w:rsidRPr="00125264">
        <w:rPr>
          <w:rFonts w:ascii="Times New Roman" w:hAnsi="Times New Roman" w:cs="Times New Roman"/>
          <w:b/>
          <w:sz w:val="23"/>
          <w:szCs w:val="23"/>
        </w:rPr>
        <w:t>группировочное</w:t>
      </w:r>
      <w:proofErr w:type="spellEnd"/>
      <w:r w:rsidRPr="00125264">
        <w:rPr>
          <w:rFonts w:ascii="Times New Roman" w:hAnsi="Times New Roman" w:cs="Times New Roman"/>
          <w:b/>
          <w:sz w:val="23"/>
          <w:szCs w:val="23"/>
        </w:rPr>
        <w:t xml:space="preserve"> название:</w:t>
      </w:r>
      <w:r w:rsidRPr="00125264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Никотиноил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 гамма-аминомасляная кислота.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>Лекарственная форма:</w:t>
      </w:r>
      <w:r w:rsidRPr="00125264">
        <w:rPr>
          <w:rFonts w:ascii="Times New Roman" w:hAnsi="Times New Roman" w:cs="Times New Roman"/>
          <w:sz w:val="23"/>
          <w:szCs w:val="23"/>
        </w:rPr>
        <w:t xml:space="preserve"> раствор для внутривенного и внутримышечного введения.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Состав на 1 мл: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i/>
          <w:sz w:val="23"/>
          <w:szCs w:val="23"/>
        </w:rPr>
      </w:pPr>
      <w:r w:rsidRPr="00125264">
        <w:rPr>
          <w:rFonts w:ascii="Times New Roman" w:hAnsi="Times New Roman" w:cs="Times New Roman"/>
          <w:i/>
          <w:sz w:val="23"/>
          <w:szCs w:val="23"/>
        </w:rPr>
        <w:t xml:space="preserve">Действующее вещество: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Никотиноил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 гамма-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аминобутират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 натрия </w:t>
      </w:r>
      <w:r>
        <w:rPr>
          <w:rFonts w:ascii="Times New Roman" w:hAnsi="Times New Roman" w:cs="Times New Roman"/>
          <w:sz w:val="23"/>
          <w:szCs w:val="23"/>
        </w:rPr>
        <w:t xml:space="preserve">     </w:t>
      </w:r>
      <w:r w:rsidRPr="00125264">
        <w:rPr>
          <w:rFonts w:ascii="Times New Roman" w:hAnsi="Times New Roman" w:cs="Times New Roman"/>
          <w:sz w:val="23"/>
          <w:szCs w:val="23"/>
        </w:rPr>
        <w:t xml:space="preserve">– 50 мг и 100 мг; </w:t>
      </w:r>
    </w:p>
    <w:p w:rsidR="00125264" w:rsidRPr="00125264" w:rsidRDefault="00125264" w:rsidP="00074022">
      <w:pPr>
        <w:jc w:val="both"/>
        <w:rPr>
          <w:rFonts w:ascii="Times New Roman" w:hAnsi="Times New Roman" w:cs="Times New Roman"/>
          <w:i/>
          <w:sz w:val="23"/>
          <w:szCs w:val="23"/>
        </w:rPr>
      </w:pPr>
      <w:r w:rsidRPr="00125264">
        <w:rPr>
          <w:rFonts w:ascii="Times New Roman" w:hAnsi="Times New Roman" w:cs="Times New Roman"/>
          <w:i/>
          <w:sz w:val="23"/>
          <w:szCs w:val="23"/>
        </w:rPr>
        <w:t xml:space="preserve">Вспомогательные вещества: </w:t>
      </w:r>
    </w:p>
    <w:p w:rsidR="00125264" w:rsidRPr="00125264" w:rsidRDefault="00125264" w:rsidP="00074022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>хлористо</w:t>
      </w:r>
      <w:r>
        <w:rPr>
          <w:rFonts w:ascii="Times New Roman" w:hAnsi="Times New Roman" w:cs="Times New Roman"/>
          <w:sz w:val="23"/>
          <w:szCs w:val="23"/>
        </w:rPr>
        <w:t>водородной кислоты раствор 1 М*</w:t>
      </w:r>
      <w:r w:rsidRPr="00125264">
        <w:rPr>
          <w:rFonts w:ascii="Times New Roman" w:hAnsi="Times New Roman" w:cs="Times New Roman"/>
          <w:sz w:val="23"/>
          <w:szCs w:val="23"/>
        </w:rPr>
        <w:t xml:space="preserve"> – до рН от 6,7 до 8,0; </w:t>
      </w:r>
    </w:p>
    <w:p w:rsidR="00125264" w:rsidRPr="00125264" w:rsidRDefault="00125264" w:rsidP="00074022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вода для инъекций </w:t>
      </w:r>
      <w:r>
        <w:rPr>
          <w:rFonts w:ascii="Times New Roman" w:hAnsi="Times New Roman" w:cs="Times New Roman"/>
          <w:sz w:val="23"/>
          <w:szCs w:val="23"/>
        </w:rPr>
        <w:t xml:space="preserve">                                           </w:t>
      </w:r>
      <w:r w:rsidRPr="00125264">
        <w:rPr>
          <w:rFonts w:ascii="Times New Roman" w:hAnsi="Times New Roman" w:cs="Times New Roman"/>
          <w:sz w:val="23"/>
          <w:szCs w:val="23"/>
        </w:rPr>
        <w:t xml:space="preserve">– до 1 мл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*</w:t>
      </w:r>
      <w:r w:rsidRPr="00125264">
        <w:rPr>
          <w:rFonts w:ascii="Times New Roman" w:hAnsi="Times New Roman" w:cs="Times New Roman"/>
          <w:sz w:val="23"/>
          <w:szCs w:val="23"/>
        </w:rPr>
        <w:t xml:space="preserve"> – Хлористоводородной кислоты раствор 1 М получают из хлористоводородной кислоты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концентрированной и воды для инъекций. </w:t>
      </w:r>
    </w:p>
    <w:p w:rsid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</w:p>
    <w:p w:rsidR="00125264" w:rsidRP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Описание: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Прозрачная бесцветная или со слегка коричневатым оттенком жидкость. </w:t>
      </w:r>
    </w:p>
    <w:p w:rsid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</w:p>
    <w:p w:rsidR="00125264" w:rsidRPr="00125264" w:rsidRDefault="00125264" w:rsidP="00E3703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>Фармакотерапевтическая группа:</w:t>
      </w:r>
      <w:r w:rsidRPr="00125264">
        <w:rPr>
          <w:rFonts w:ascii="Times New Roman" w:hAnsi="Times New Roman" w:cs="Times New Roman"/>
          <w:sz w:val="23"/>
          <w:szCs w:val="23"/>
        </w:rPr>
        <w:t xml:space="preserve"> психоаналептики; 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психостимуляторы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, средства, </w:t>
      </w:r>
    </w:p>
    <w:p w:rsidR="00125264" w:rsidRPr="00125264" w:rsidRDefault="00125264" w:rsidP="00E3703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применяемые при синдроме дефицита внимания с 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гиперактивностью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, и 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ноотропные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 средства; </w:t>
      </w:r>
    </w:p>
    <w:p w:rsidR="00125264" w:rsidRPr="00125264" w:rsidRDefault="00125264" w:rsidP="00E3703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другие 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психостимуляторы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 и 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ноотропные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 средства. </w:t>
      </w:r>
    </w:p>
    <w:p w:rsid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</w:p>
    <w:p w:rsidR="00125264" w:rsidRP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Код ATX: [N06BX] </w:t>
      </w:r>
    </w:p>
    <w:p w:rsid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</w:p>
    <w:p w:rsidR="00125264" w:rsidRP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Фармакологические свойства: </w:t>
      </w:r>
    </w:p>
    <w:p w:rsid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125264" w:rsidRP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  <w:proofErr w:type="spellStart"/>
      <w:r w:rsidRPr="00125264">
        <w:rPr>
          <w:rFonts w:ascii="Times New Roman" w:hAnsi="Times New Roman" w:cs="Times New Roman"/>
          <w:b/>
          <w:sz w:val="23"/>
          <w:szCs w:val="23"/>
        </w:rPr>
        <w:t>Фармакодинамика</w:t>
      </w:r>
      <w:proofErr w:type="spellEnd"/>
      <w:r w:rsidRPr="00125264">
        <w:rPr>
          <w:rFonts w:ascii="Times New Roman" w:hAnsi="Times New Roman" w:cs="Times New Roman"/>
          <w:b/>
          <w:sz w:val="23"/>
          <w:szCs w:val="23"/>
        </w:rPr>
        <w:t xml:space="preserve">: </w:t>
      </w:r>
    </w:p>
    <w:p w:rsidR="00125264" w:rsidRPr="00125264" w:rsidRDefault="00125264" w:rsidP="00E37034">
      <w:pPr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Ноотропное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 средство, расширяет сосуды головного мозга. Оказывает транквилизирующее и </w:t>
      </w:r>
    </w:p>
    <w:p w:rsidR="00125264" w:rsidRPr="00125264" w:rsidRDefault="00125264" w:rsidP="00E3703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мягкое психостимулирующее действие, 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антиагрегантное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 и антиоксидантное действие. </w:t>
      </w:r>
    </w:p>
    <w:p w:rsidR="00125264" w:rsidRPr="00125264" w:rsidRDefault="00125264" w:rsidP="00E3703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Улучшает функциональное состояние головного мозга за счет нормализации метаболизма </w:t>
      </w:r>
    </w:p>
    <w:p w:rsidR="00125264" w:rsidRPr="00125264" w:rsidRDefault="00125264" w:rsidP="00E3703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lastRenderedPageBreak/>
        <w:t xml:space="preserve">тканей и влияния на мозговое кровообращение (увеличивает объемную и линейную скорость </w:t>
      </w:r>
    </w:p>
    <w:p w:rsidR="00125264" w:rsidRPr="00125264" w:rsidRDefault="00125264" w:rsidP="00E3703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мозгового кровотока, обладает сосудорасширяющим, 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ан</w:t>
      </w:r>
      <w:r>
        <w:rPr>
          <w:rFonts w:ascii="Times New Roman" w:hAnsi="Times New Roman" w:cs="Times New Roman"/>
          <w:sz w:val="23"/>
          <w:szCs w:val="23"/>
        </w:rPr>
        <w:t>тиагрегантным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, антиоксидантным </w:t>
      </w:r>
      <w:r w:rsidRPr="00125264">
        <w:rPr>
          <w:rFonts w:ascii="Times New Roman" w:hAnsi="Times New Roman" w:cs="Times New Roman"/>
          <w:sz w:val="23"/>
          <w:szCs w:val="23"/>
        </w:rPr>
        <w:t xml:space="preserve">действием, улучшает микроциркуляцию). При курсовом приеме повышает физическую и </w:t>
      </w:r>
    </w:p>
    <w:p w:rsidR="00125264" w:rsidRPr="00125264" w:rsidRDefault="00125264" w:rsidP="00E3703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умственную работоспособность, уменьшает головную боль, улучшает память, нормализует </w:t>
      </w:r>
    </w:p>
    <w:p w:rsidR="00125264" w:rsidRPr="00125264" w:rsidRDefault="00125264" w:rsidP="00E3703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сон; способствует снижению или исчезновению чувства тревоги, напряжения, страха, </w:t>
      </w:r>
    </w:p>
    <w:p w:rsidR="00125264" w:rsidRPr="00125264" w:rsidRDefault="00125264" w:rsidP="00E3703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эмоциональной несдержанности. Способствует восстановлению центральных двигательных и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речевых нарушений сосудистого или травматического генеза. Улучшает кровообращение в </w:t>
      </w:r>
    </w:p>
    <w:p w:rsid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сосудах сетчатки и зрительного нерва.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</w:p>
    <w:p w:rsidR="00125264" w:rsidRP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  <w:proofErr w:type="spellStart"/>
      <w:r w:rsidRPr="00125264">
        <w:rPr>
          <w:rFonts w:ascii="Times New Roman" w:hAnsi="Times New Roman" w:cs="Times New Roman"/>
          <w:b/>
          <w:sz w:val="23"/>
          <w:szCs w:val="23"/>
        </w:rPr>
        <w:t>Фармакокинетика</w:t>
      </w:r>
      <w:proofErr w:type="spellEnd"/>
      <w:r w:rsidRPr="00125264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:rsidR="00125264" w:rsidRPr="00125264" w:rsidRDefault="00125264" w:rsidP="00E3703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Абсорбция - быстрая и полная при любых путях введения. Проникает через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гематоэнцефалический барьер, длительно удерживается в тканях организма. 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Биодоступность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– 50-88 %. Выводится, в основном, почками в неизмененном виде. Период полувыведения –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0.51 часа. </w:t>
      </w:r>
    </w:p>
    <w:p w:rsid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</w:p>
    <w:p w:rsidR="00125264" w:rsidRP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Показания к применению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i/>
          <w:sz w:val="23"/>
          <w:szCs w:val="23"/>
        </w:rPr>
      </w:pPr>
      <w:r w:rsidRPr="00125264">
        <w:rPr>
          <w:rFonts w:ascii="Times New Roman" w:hAnsi="Times New Roman" w:cs="Times New Roman"/>
          <w:i/>
          <w:sz w:val="23"/>
          <w:szCs w:val="23"/>
        </w:rPr>
        <w:t xml:space="preserve">Взрослым: </w:t>
      </w:r>
    </w:p>
    <w:p w:rsidR="00125264" w:rsidRPr="00125264" w:rsidRDefault="00125264" w:rsidP="00E3703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>хроническая цереброваскулярная недостаточность (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дисциркуляторная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 энцефалопатия, </w:t>
      </w:r>
    </w:p>
    <w:p w:rsidR="00125264" w:rsidRPr="00125264" w:rsidRDefault="00125264" w:rsidP="00E3703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>последствия нарушения мозгового кровообращения), состояние п</w:t>
      </w:r>
      <w:r w:rsidR="00E37034">
        <w:rPr>
          <w:rFonts w:ascii="Times New Roman" w:hAnsi="Times New Roman" w:cs="Times New Roman"/>
          <w:sz w:val="23"/>
          <w:szCs w:val="23"/>
        </w:rPr>
        <w:t>осле черепно-</w:t>
      </w:r>
      <w:r w:rsidRPr="00125264">
        <w:rPr>
          <w:rFonts w:ascii="Times New Roman" w:hAnsi="Times New Roman" w:cs="Times New Roman"/>
          <w:sz w:val="23"/>
          <w:szCs w:val="23"/>
        </w:rPr>
        <w:t xml:space="preserve">мозговой травмы, синдром вегетативной дистонии, в составе комплексной терапии </w:t>
      </w:r>
    </w:p>
    <w:p w:rsid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>депрессивных расстройств различн</w:t>
      </w:r>
      <w:r>
        <w:rPr>
          <w:rFonts w:ascii="Times New Roman" w:hAnsi="Times New Roman" w:cs="Times New Roman"/>
          <w:sz w:val="23"/>
          <w:szCs w:val="23"/>
        </w:rPr>
        <w:t xml:space="preserve">ого генеза в пожилом возрасте. </w:t>
      </w:r>
    </w:p>
    <w:p w:rsidR="00125264" w:rsidRPr="00125264" w:rsidRDefault="00125264" w:rsidP="00E3703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в составе комплексного лечения при хроническом алкоголизме (уменьшение </w:t>
      </w:r>
    </w:p>
    <w:p w:rsidR="00125264" w:rsidRPr="00125264" w:rsidRDefault="00125264" w:rsidP="00E3703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астенических, 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астеноневротических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постпсихотических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предрецидивных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 состояний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при алкогольной энцефалопатии). </w:t>
      </w:r>
    </w:p>
    <w:p w:rsidR="00125264" w:rsidRPr="00125264" w:rsidRDefault="00125264" w:rsidP="001252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в составе комплексной терапии первичной 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открытоугольной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 глаукомы с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>компенсированным внутриглазным давление</w:t>
      </w:r>
      <w:r w:rsidR="00E37034">
        <w:rPr>
          <w:rFonts w:ascii="Times New Roman" w:hAnsi="Times New Roman" w:cs="Times New Roman"/>
          <w:sz w:val="23"/>
          <w:szCs w:val="23"/>
        </w:rPr>
        <w:t xml:space="preserve">м (для стабилизации зрительной </w:t>
      </w:r>
      <w:r w:rsidRPr="00125264">
        <w:rPr>
          <w:rFonts w:ascii="Times New Roman" w:hAnsi="Times New Roman" w:cs="Times New Roman"/>
          <w:sz w:val="23"/>
          <w:szCs w:val="23"/>
        </w:rPr>
        <w:t xml:space="preserve">функции). </w:t>
      </w:r>
    </w:p>
    <w:p w:rsidR="00125264" w:rsidRPr="00125264" w:rsidRDefault="00125264" w:rsidP="001252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в составе комплексной терапии синдрома вегетативной дистонии, сопровождающегося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>тревогой, страхом, повышенной раздражительн</w:t>
      </w:r>
      <w:r w:rsidR="00E37034">
        <w:rPr>
          <w:rFonts w:ascii="Times New Roman" w:hAnsi="Times New Roman" w:cs="Times New Roman"/>
          <w:sz w:val="23"/>
          <w:szCs w:val="23"/>
        </w:rPr>
        <w:t xml:space="preserve">остью, астенией, эмоциональной </w:t>
      </w:r>
      <w:r w:rsidRPr="00125264">
        <w:rPr>
          <w:rFonts w:ascii="Times New Roman" w:hAnsi="Times New Roman" w:cs="Times New Roman"/>
          <w:sz w:val="23"/>
          <w:szCs w:val="23"/>
        </w:rPr>
        <w:t xml:space="preserve">лабильностью. </w:t>
      </w:r>
    </w:p>
    <w:p w:rsidR="00125264" w:rsidRPr="00125264" w:rsidRDefault="00125264" w:rsidP="0012526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для улучшения переносимости физических и умственных нагрузок, повышения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>стрессоустойчивости (лицам, находящимся в напряж</w:t>
      </w:r>
      <w:r w:rsidR="00E37034">
        <w:rPr>
          <w:rFonts w:ascii="Times New Roman" w:hAnsi="Times New Roman" w:cs="Times New Roman"/>
          <w:sz w:val="23"/>
          <w:szCs w:val="23"/>
        </w:rPr>
        <w:t xml:space="preserve">енных и экстремальных условиях </w:t>
      </w:r>
      <w:r w:rsidRPr="00125264">
        <w:rPr>
          <w:rFonts w:ascii="Times New Roman" w:hAnsi="Times New Roman" w:cs="Times New Roman"/>
          <w:sz w:val="23"/>
          <w:szCs w:val="23"/>
        </w:rPr>
        <w:t>деятельности; для восстановления физической рабо</w:t>
      </w:r>
      <w:r w:rsidR="00E37034">
        <w:rPr>
          <w:rFonts w:ascii="Times New Roman" w:hAnsi="Times New Roman" w:cs="Times New Roman"/>
          <w:sz w:val="23"/>
          <w:szCs w:val="23"/>
        </w:rPr>
        <w:t xml:space="preserve">тоспособности спортсменов, для </w:t>
      </w:r>
      <w:r w:rsidRPr="00125264">
        <w:rPr>
          <w:rFonts w:ascii="Times New Roman" w:hAnsi="Times New Roman" w:cs="Times New Roman"/>
          <w:sz w:val="23"/>
          <w:szCs w:val="23"/>
        </w:rPr>
        <w:t xml:space="preserve">повышения устойчивости к физическим и умственным нагрузкам).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i/>
          <w:sz w:val="23"/>
          <w:szCs w:val="23"/>
        </w:rPr>
        <w:t>Детям старше 3 лет и взрослым</w:t>
      </w:r>
      <w:r w:rsidRPr="00125264">
        <w:rPr>
          <w:rFonts w:ascii="Times New Roman" w:hAnsi="Times New Roman" w:cs="Times New Roman"/>
          <w:sz w:val="23"/>
          <w:szCs w:val="23"/>
        </w:rPr>
        <w:t xml:space="preserve"> в урологической практике пр</w:t>
      </w:r>
      <w:r w:rsidR="00E37034">
        <w:rPr>
          <w:rFonts w:ascii="Times New Roman" w:hAnsi="Times New Roman" w:cs="Times New Roman"/>
          <w:sz w:val="23"/>
          <w:szCs w:val="23"/>
        </w:rPr>
        <w:t xml:space="preserve">и расстройствах мочеиспускания </w:t>
      </w:r>
      <w:r w:rsidRPr="00125264">
        <w:rPr>
          <w:rFonts w:ascii="Times New Roman" w:hAnsi="Times New Roman" w:cs="Times New Roman"/>
          <w:sz w:val="23"/>
          <w:szCs w:val="23"/>
        </w:rPr>
        <w:t xml:space="preserve">для улучшения адаптационной функции мочевого пузыря (снижение гипоксии 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детрузора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lastRenderedPageBreak/>
        <w:t xml:space="preserve">Противопоказания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Гиперчувствительность к компонентам препарата или к любому из вспомогательных веществ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в составе лекарственного препарата, хроническая почечная недостаточность, беременность,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период грудного вскармливания, детский возраст по всем показаниям к применению кроме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применения при расстройствах мочеиспускания, детский возраст до 3-х лет при расстройствах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мочеиспускания. </w:t>
      </w:r>
    </w:p>
    <w:p w:rsid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</w:p>
    <w:p w:rsidR="00125264" w:rsidRP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Применение при беременности и в период грудного вскармливания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В связи с тем, что безопасность применения препарата у беременных и кормящих женщин не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>установлена, применение препарата во время бе</w:t>
      </w:r>
      <w:r w:rsidR="00E37034">
        <w:rPr>
          <w:rFonts w:ascii="Times New Roman" w:hAnsi="Times New Roman" w:cs="Times New Roman"/>
          <w:sz w:val="23"/>
          <w:szCs w:val="23"/>
        </w:rPr>
        <w:t xml:space="preserve">ременности и в период грудного </w:t>
      </w:r>
      <w:r w:rsidRPr="00125264">
        <w:rPr>
          <w:rFonts w:ascii="Times New Roman" w:hAnsi="Times New Roman" w:cs="Times New Roman"/>
          <w:sz w:val="23"/>
          <w:szCs w:val="23"/>
        </w:rPr>
        <w:t xml:space="preserve">вскармливания противопоказано. </w:t>
      </w:r>
    </w:p>
    <w:p w:rsid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</w:p>
    <w:p w:rsidR="00125264" w:rsidRP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Способ применения и дозы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Внутривенно 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капельно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 или 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струйно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 (медленно), внутримышечно.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Перед капельным введением содержимое ампулы растворяют в 200 мл 0,9 % раствора натрия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хлорида.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>При хронической цереброваскулярной недостаточности</w:t>
      </w:r>
      <w:r w:rsidRPr="00125264">
        <w:rPr>
          <w:rFonts w:ascii="Times New Roman" w:hAnsi="Times New Roman" w:cs="Times New Roman"/>
          <w:sz w:val="23"/>
          <w:szCs w:val="23"/>
        </w:rPr>
        <w:t>: вводят</w:t>
      </w:r>
      <w:r w:rsidR="00E37034">
        <w:rPr>
          <w:rFonts w:ascii="Times New Roman" w:hAnsi="Times New Roman" w:cs="Times New Roman"/>
          <w:sz w:val="23"/>
          <w:szCs w:val="23"/>
        </w:rPr>
        <w:t xml:space="preserve"> по 100-200 мг 1 раз в сутки в </w:t>
      </w:r>
      <w:r w:rsidRPr="00125264">
        <w:rPr>
          <w:rFonts w:ascii="Times New Roman" w:hAnsi="Times New Roman" w:cs="Times New Roman"/>
          <w:sz w:val="23"/>
          <w:szCs w:val="23"/>
        </w:rPr>
        <w:t xml:space="preserve">течение 10 дней внутривенно, затем внутримышечно. Курс лечения 15-30 дней.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При улучшении состояния переходят на пероральные формы в суточной дозе 50- 150 мг.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Повторный курс – через 5-6 месяцев.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>В составе комплексной терапии депрессивных состояний пожилого возраста</w:t>
      </w:r>
      <w:r w:rsidRPr="00125264">
        <w:rPr>
          <w:rFonts w:ascii="Times New Roman" w:hAnsi="Times New Roman" w:cs="Times New Roman"/>
          <w:sz w:val="23"/>
          <w:szCs w:val="23"/>
        </w:rPr>
        <w:t xml:space="preserve">: вводят 50-200 мг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в сутки в течение 10-15 дней.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 xml:space="preserve">В составе комплексной терапии хронического алкоголизма </w:t>
      </w:r>
      <w:r w:rsidRPr="00125264">
        <w:rPr>
          <w:rFonts w:ascii="Times New Roman" w:hAnsi="Times New Roman" w:cs="Times New Roman"/>
          <w:sz w:val="23"/>
          <w:szCs w:val="23"/>
        </w:rPr>
        <w:t>вво</w:t>
      </w:r>
      <w:r w:rsidR="00E37034">
        <w:rPr>
          <w:rFonts w:ascii="Times New Roman" w:hAnsi="Times New Roman" w:cs="Times New Roman"/>
          <w:sz w:val="23"/>
          <w:szCs w:val="23"/>
        </w:rPr>
        <w:t xml:space="preserve">дят 100 мг в сутки курсом 6-15 </w:t>
      </w:r>
      <w:r w:rsidRPr="00125264">
        <w:rPr>
          <w:rFonts w:ascii="Times New Roman" w:hAnsi="Times New Roman" w:cs="Times New Roman"/>
          <w:sz w:val="23"/>
          <w:szCs w:val="23"/>
        </w:rPr>
        <w:t xml:space="preserve">дней.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>Для восстановления работоспособности при повышенных нагрузках</w:t>
      </w:r>
      <w:r w:rsidRPr="00125264">
        <w:rPr>
          <w:rFonts w:ascii="Times New Roman" w:hAnsi="Times New Roman" w:cs="Times New Roman"/>
          <w:sz w:val="23"/>
          <w:szCs w:val="23"/>
        </w:rPr>
        <w:t xml:space="preserve"> вводят в суточной дозе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200 мг в течение 10-15 дней, для спортсменов – в той же дозе в течение 14 дней тренировочного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периода.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>В составе комплексной терапии синдрома вегетативной дистонии</w:t>
      </w:r>
      <w:r w:rsidRPr="00125264">
        <w:rPr>
          <w:rFonts w:ascii="Times New Roman" w:hAnsi="Times New Roman" w:cs="Times New Roman"/>
          <w:sz w:val="23"/>
          <w:szCs w:val="23"/>
        </w:rPr>
        <w:t xml:space="preserve"> назначают п</w:t>
      </w:r>
      <w:r w:rsidR="00E37034">
        <w:rPr>
          <w:rFonts w:ascii="Times New Roman" w:hAnsi="Times New Roman" w:cs="Times New Roman"/>
          <w:sz w:val="23"/>
          <w:szCs w:val="23"/>
        </w:rPr>
        <w:t xml:space="preserve">о 100-200 мг в </w:t>
      </w:r>
      <w:r w:rsidRPr="00125264">
        <w:rPr>
          <w:rFonts w:ascii="Times New Roman" w:hAnsi="Times New Roman" w:cs="Times New Roman"/>
          <w:sz w:val="23"/>
          <w:szCs w:val="23"/>
        </w:rPr>
        <w:t xml:space="preserve">течение 10-15 дней.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 xml:space="preserve">В составе комплексной терапии первичной </w:t>
      </w:r>
      <w:proofErr w:type="spellStart"/>
      <w:r w:rsidRPr="00E37034">
        <w:rPr>
          <w:rFonts w:ascii="Times New Roman" w:hAnsi="Times New Roman" w:cs="Times New Roman"/>
          <w:b/>
          <w:i/>
          <w:sz w:val="23"/>
          <w:szCs w:val="23"/>
        </w:rPr>
        <w:t>открытоугольной</w:t>
      </w:r>
      <w:proofErr w:type="spellEnd"/>
      <w:r w:rsidRPr="00E37034">
        <w:rPr>
          <w:rFonts w:ascii="Times New Roman" w:hAnsi="Times New Roman" w:cs="Times New Roman"/>
          <w:b/>
          <w:i/>
          <w:sz w:val="23"/>
          <w:szCs w:val="23"/>
        </w:rPr>
        <w:t xml:space="preserve"> глаукомы</w:t>
      </w:r>
      <w:r w:rsidR="00E37034">
        <w:rPr>
          <w:rFonts w:ascii="Times New Roman" w:hAnsi="Times New Roman" w:cs="Times New Roman"/>
          <w:sz w:val="23"/>
          <w:szCs w:val="23"/>
        </w:rPr>
        <w:t xml:space="preserve"> вводят по 100-200 мг в </w:t>
      </w:r>
      <w:r w:rsidRPr="00125264">
        <w:rPr>
          <w:rFonts w:ascii="Times New Roman" w:hAnsi="Times New Roman" w:cs="Times New Roman"/>
          <w:sz w:val="23"/>
          <w:szCs w:val="23"/>
        </w:rPr>
        <w:t>сутки в течении 10 дней.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>При лечении расстройств мочеиспускания</w:t>
      </w:r>
      <w:r w:rsidRPr="00125264">
        <w:rPr>
          <w:rFonts w:ascii="Times New Roman" w:hAnsi="Times New Roman" w:cs="Times New Roman"/>
          <w:sz w:val="23"/>
          <w:szCs w:val="23"/>
        </w:rPr>
        <w:t xml:space="preserve">: внутримышечно вводят по 100 мг (для детей от 3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до 10 лет), по 200 мг в сутки (для детей старше 11 лет и взрослых). </w:t>
      </w:r>
    </w:p>
    <w:p w:rsid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</w:p>
    <w:p w:rsid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125264">
        <w:rPr>
          <w:rFonts w:ascii="Times New Roman" w:hAnsi="Times New Roman" w:cs="Times New Roman"/>
          <w:b/>
          <w:sz w:val="23"/>
          <w:szCs w:val="23"/>
          <w:u w:val="single"/>
        </w:rPr>
        <w:lastRenderedPageBreak/>
        <w:t xml:space="preserve">Порядок работы с полимерной ампулой </w:t>
      </w:r>
    </w:p>
    <w:p w:rsid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</w:p>
    <w:p w:rsid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>
        <w:rPr>
          <w:noProof/>
          <w:lang w:eastAsia="ru-RU"/>
        </w:rPr>
        <w:drawing>
          <wp:inline distT="0" distB="0" distL="0" distR="0" wp14:anchorId="16A63D70" wp14:editId="028FA205">
            <wp:extent cx="3316224" cy="1030224"/>
            <wp:effectExtent l="0" t="0" r="0" b="0"/>
            <wp:docPr id="198" name="Picture 1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Picture 19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16224" cy="1030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1. Взять ампулу и встряхнуть ее, удерживая за горлышко.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2. Вращающими движениями повернуть и отделить клапан.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3. Через образовавшееся отверстие набрать с помощью </w:t>
      </w:r>
      <w:r w:rsidR="00E37034">
        <w:rPr>
          <w:rFonts w:ascii="Times New Roman" w:hAnsi="Times New Roman" w:cs="Times New Roman"/>
          <w:sz w:val="23"/>
          <w:szCs w:val="23"/>
        </w:rPr>
        <w:t xml:space="preserve">иглы содержимое ампулы в </w:t>
      </w:r>
      <w:r w:rsidRPr="00125264">
        <w:rPr>
          <w:rFonts w:ascii="Times New Roman" w:hAnsi="Times New Roman" w:cs="Times New Roman"/>
          <w:sz w:val="23"/>
          <w:szCs w:val="23"/>
        </w:rPr>
        <w:t xml:space="preserve">шприц. </w:t>
      </w:r>
    </w:p>
    <w:p w:rsid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125264" w:rsidRP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Побочное действие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Нежелательные реакции перечислены ниже в соответствии с классификацией по основным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системам и </w:t>
      </w:r>
      <w:proofErr w:type="gramStart"/>
      <w:r w:rsidRPr="00125264">
        <w:rPr>
          <w:rFonts w:ascii="Times New Roman" w:hAnsi="Times New Roman" w:cs="Times New Roman"/>
          <w:sz w:val="23"/>
          <w:szCs w:val="23"/>
        </w:rPr>
        <w:t>органам</w:t>
      </w:r>
      <w:proofErr w:type="gramEnd"/>
      <w:r w:rsidRPr="00125264">
        <w:rPr>
          <w:rFonts w:ascii="Times New Roman" w:hAnsi="Times New Roman" w:cs="Times New Roman"/>
          <w:sz w:val="23"/>
          <w:szCs w:val="23"/>
        </w:rPr>
        <w:t xml:space="preserve"> и частоте встречаемости, которая была определена в соответствии с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классификацией Всемирной организации здравоохранения (ВОЗ): очень часто (≥ 1/10); часто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(≥ 1/100 и &lt;1/10); нечасто (≥ 1/1000 и &lt;1/100); редко (≥ 1/10000 и &lt;1/1000); очень редко (&lt;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1/10000); частота неизвестна (не может быть установлена на основании имеющихся данных).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i/>
          <w:sz w:val="23"/>
          <w:szCs w:val="23"/>
        </w:rPr>
      </w:pPr>
      <w:r w:rsidRPr="00125264">
        <w:rPr>
          <w:rFonts w:ascii="Times New Roman" w:hAnsi="Times New Roman" w:cs="Times New Roman"/>
          <w:i/>
          <w:sz w:val="23"/>
          <w:szCs w:val="23"/>
        </w:rPr>
        <w:t xml:space="preserve">Нарушения со стороны сосудов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Частота неизвестна: снижение артериального давления.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i/>
          <w:sz w:val="23"/>
          <w:szCs w:val="23"/>
        </w:rPr>
      </w:pPr>
      <w:r w:rsidRPr="00125264">
        <w:rPr>
          <w:rFonts w:ascii="Times New Roman" w:hAnsi="Times New Roman" w:cs="Times New Roman"/>
          <w:i/>
          <w:sz w:val="23"/>
          <w:szCs w:val="23"/>
        </w:rPr>
        <w:t xml:space="preserve">Нарушения со стороны нервной системы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Частота неизвестна: головокружение, головная боль.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i/>
          <w:sz w:val="23"/>
          <w:szCs w:val="23"/>
        </w:rPr>
      </w:pPr>
      <w:r w:rsidRPr="00125264">
        <w:rPr>
          <w:rFonts w:ascii="Times New Roman" w:hAnsi="Times New Roman" w:cs="Times New Roman"/>
          <w:i/>
          <w:sz w:val="23"/>
          <w:szCs w:val="23"/>
        </w:rPr>
        <w:t xml:space="preserve">Желудочно-кишечные нарушения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Частота неизвестна: легкая тошнота.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i/>
          <w:sz w:val="23"/>
          <w:szCs w:val="23"/>
        </w:rPr>
      </w:pPr>
      <w:r w:rsidRPr="00125264">
        <w:rPr>
          <w:rFonts w:ascii="Times New Roman" w:hAnsi="Times New Roman" w:cs="Times New Roman"/>
          <w:i/>
          <w:sz w:val="23"/>
          <w:szCs w:val="23"/>
        </w:rPr>
        <w:t xml:space="preserve">Психические нарушения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Частота неизвестна: раздражительность, возбуждение, тревожность.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i/>
          <w:sz w:val="23"/>
          <w:szCs w:val="23"/>
        </w:rPr>
      </w:pPr>
      <w:r w:rsidRPr="00125264">
        <w:rPr>
          <w:rFonts w:ascii="Times New Roman" w:hAnsi="Times New Roman" w:cs="Times New Roman"/>
          <w:i/>
          <w:sz w:val="23"/>
          <w:szCs w:val="23"/>
        </w:rPr>
        <w:t xml:space="preserve">Нарушения со стороны кожи и подкожных тканей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Частота неизвестна: аллергические реакции (кожная сыпь, зуд).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Передозировка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Усиление выраженности 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дозозависимых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 симптомов побочного действия. Лечение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симптоматическое. </w:t>
      </w:r>
    </w:p>
    <w:p w:rsid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E15143" w:rsidRDefault="00E15143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125264" w:rsidRP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lastRenderedPageBreak/>
        <w:t xml:space="preserve">Взаимодействие с другими лекарственными средствами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Сокращает время действия барбитуратов, усиливает действие опиоидных анальгетиков.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Особые указания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Возможно отрицательное влияние препарата на выполнение потенциально опасных видов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деятельности, требующих особого внимания и быстроты реакции (управление автомобилем,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работа с движущимися механизмами и др.)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  <w:u w:val="single"/>
        </w:rPr>
      </w:pPr>
      <w:r w:rsidRPr="00125264">
        <w:rPr>
          <w:rFonts w:ascii="Times New Roman" w:hAnsi="Times New Roman" w:cs="Times New Roman"/>
          <w:sz w:val="23"/>
          <w:szCs w:val="23"/>
          <w:u w:val="single"/>
        </w:rPr>
        <w:t xml:space="preserve">Дети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Применение препарата у детей по всем показаниям кроме расстройств мочеиспускания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противопоказано. Применение препарата при расстройствах мочеиспускания противопоказано </w:t>
      </w:r>
    </w:p>
    <w:p w:rsidR="00125264" w:rsidRP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у детей до 3-х лет. </w:t>
      </w:r>
    </w:p>
    <w:p w:rsidR="00125264" w:rsidRDefault="00125264" w:rsidP="00125264">
      <w:pPr>
        <w:jc w:val="both"/>
        <w:rPr>
          <w:rFonts w:ascii="Times New Roman" w:hAnsi="Times New Roman" w:cs="Times New Roman"/>
          <w:sz w:val="23"/>
          <w:szCs w:val="23"/>
        </w:rPr>
      </w:pP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Влияние на способность управлять транспортными средствами и механизмами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В связи с возможностью возникновения головокружения и других побочных эффектов,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связанных с приемом препарата, в период лечения пациентам рекомендуется воздержаться от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>управления автотранспортом и занятий другим</w:t>
      </w:r>
      <w:r w:rsidR="00E37034">
        <w:rPr>
          <w:rFonts w:ascii="Times New Roman" w:hAnsi="Times New Roman" w:cs="Times New Roman"/>
          <w:sz w:val="23"/>
          <w:szCs w:val="23"/>
        </w:rPr>
        <w:t xml:space="preserve">и потенциально опасными видами </w:t>
      </w:r>
      <w:r w:rsidRPr="00125264">
        <w:rPr>
          <w:rFonts w:ascii="Times New Roman" w:hAnsi="Times New Roman" w:cs="Times New Roman"/>
          <w:sz w:val="23"/>
          <w:szCs w:val="23"/>
        </w:rPr>
        <w:t xml:space="preserve">деятельности, требующими повышенной концентрации внимания и быстроты психомоторных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и двигательных реакций. </w:t>
      </w:r>
    </w:p>
    <w:p w:rsid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Форма выпуска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Раствор для внутривенного и внутримышечного введения, 50 мг/мл и 100 мг/мл.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По 2 мл препарата в ампулы из бесцветного стекла I гидролитического класса с точкой излома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и цветным маркировочным кольцом (кольцами).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На ампулу наклеивают этикетку самоклеящуюся.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По 5 ампул помещают в контурную ячейковую упаковку из пленки поливинилхлоридной без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фольги.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По 2 контурные ячейковые упаковки вместе с инструкцией по применению помещают в пачку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из картона.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По 2 мл препарата в ампулу полимерную.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На ампулу наклеивают этикетку самоклеящуюся.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По 2 блока из 5 ампул вместе с инструкцией по применению помещают в пачку из картона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или по 2 блока из 5 ампул помещают в пакет из фольгированной пленки. По 1 пакету вместе с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инструкцией по применению помещают в пачку из картона.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Условия хранения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Хранить при температуре не выше 25 °С в оригинальной упаковке (ампулы в пачке) или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lastRenderedPageBreak/>
        <w:t>(ампулы в пакете из фольгированной пленки и пачке).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Хранить в недоступном для детей месте.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Срок годности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3 года.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>Не применять по истечении срока годности.</w:t>
      </w:r>
    </w:p>
    <w:p w:rsid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Условия отпуска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Отпускают по рецепту. </w:t>
      </w:r>
    </w:p>
    <w:p w:rsid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Держатель регистрационного удостоверения/организация, принимающая претензии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 xml:space="preserve">потребителей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Открытое акционерное общество «Фармстандарт-Уфимский витаминный завод»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>(ОАО «Фармстандарт-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УфаВИТА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»), Россия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450077, Республика Башкортостан,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г. Уфа, ул. 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Худайбердина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, д. 28,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тел./факс (347) 272 92 85 </w:t>
      </w:r>
    </w:p>
    <w:p w:rsidR="00125264" w:rsidRPr="00125264" w:rsidRDefault="00693628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hyperlink r:id="rId10" w:history="1">
        <w:r w:rsidR="00925284" w:rsidRPr="00F05BBF">
          <w:rPr>
            <w:rStyle w:val="a4"/>
            <w:rFonts w:ascii="Times New Roman" w:hAnsi="Times New Roman" w:cs="Times New Roman"/>
            <w:sz w:val="23"/>
            <w:szCs w:val="23"/>
          </w:rPr>
          <w:t>www.pharmstd.ru</w:t>
        </w:r>
      </w:hyperlink>
      <w:r w:rsidR="00925284">
        <w:rPr>
          <w:rFonts w:ascii="Times New Roman" w:hAnsi="Times New Roman" w:cs="Times New Roman"/>
          <w:sz w:val="23"/>
          <w:szCs w:val="23"/>
        </w:rPr>
        <w:t xml:space="preserve"> </w:t>
      </w:r>
      <w:r w:rsidR="00125264" w:rsidRPr="00125264">
        <w:rPr>
          <w:rFonts w:ascii="Times New Roman" w:hAnsi="Times New Roman" w:cs="Times New Roman"/>
          <w:sz w:val="23"/>
          <w:szCs w:val="23"/>
        </w:rPr>
        <w:t xml:space="preserve"> </w:t>
      </w:r>
    </w:p>
    <w:p w:rsidR="00074022" w:rsidRDefault="00074022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>Производитель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Открытое акционерное общество «Фармстандарт-Уфимский витаминный завод»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>(ОАО «Фармстандарт-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УфаВИТА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»), Россия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Республика Башкортостан, г. Уфа,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 ул. </w:t>
      </w:r>
      <w:proofErr w:type="spellStart"/>
      <w:r w:rsidRPr="00125264">
        <w:rPr>
          <w:rFonts w:ascii="Times New Roman" w:hAnsi="Times New Roman" w:cs="Times New Roman"/>
          <w:sz w:val="23"/>
          <w:szCs w:val="23"/>
        </w:rPr>
        <w:t>Худайбердина</w:t>
      </w:r>
      <w:proofErr w:type="spellEnd"/>
      <w:r w:rsidRPr="00125264">
        <w:rPr>
          <w:rFonts w:ascii="Times New Roman" w:hAnsi="Times New Roman" w:cs="Times New Roman"/>
          <w:sz w:val="23"/>
          <w:szCs w:val="23"/>
        </w:rPr>
        <w:t xml:space="preserve">, д. 28, </w:t>
      </w:r>
    </w:p>
    <w:p w:rsidR="00125264" w:rsidRP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>тел./факс (347) 272 92 85, www.pharmstd.ru</w:t>
      </w:r>
    </w:p>
    <w:p w:rsid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125264" w:rsidRDefault="0012526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E37034" w:rsidRDefault="00E3703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E37034" w:rsidRDefault="00E3703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E37034" w:rsidRDefault="00E3703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E37034" w:rsidRDefault="00E37034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074022" w:rsidRDefault="00074022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074022" w:rsidRDefault="00074022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074022" w:rsidRDefault="00074022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074022" w:rsidRDefault="00074022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173CB6" w:rsidRPr="00125264" w:rsidRDefault="00173CB6" w:rsidP="00074022">
      <w:pPr>
        <w:spacing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lastRenderedPageBreak/>
        <w:t xml:space="preserve">ИНСТРУКЦИЯ </w:t>
      </w:r>
    </w:p>
    <w:p w:rsidR="00173CB6" w:rsidRPr="00125264" w:rsidRDefault="00173CB6" w:rsidP="00074022">
      <w:pPr>
        <w:spacing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125264">
        <w:rPr>
          <w:rFonts w:ascii="Times New Roman" w:hAnsi="Times New Roman" w:cs="Times New Roman"/>
          <w:sz w:val="23"/>
          <w:szCs w:val="23"/>
        </w:rPr>
        <w:t xml:space="preserve">ПО МЕДИЦИНСКОМУ ПРИМЕНЕНИЮ ЛЕКАРСТВЕННОГО ПРЕПАРАТА </w:t>
      </w:r>
    </w:p>
    <w:p w:rsidR="00173CB6" w:rsidRPr="00125264" w:rsidRDefault="00173CB6" w:rsidP="00074022">
      <w:pPr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125264">
        <w:rPr>
          <w:rFonts w:ascii="Times New Roman" w:hAnsi="Times New Roman" w:cs="Times New Roman"/>
          <w:b/>
          <w:sz w:val="23"/>
          <w:szCs w:val="23"/>
        </w:rPr>
        <w:t>ПИКАМИЛОН</w:t>
      </w:r>
      <w:r w:rsidRPr="00074022">
        <w:rPr>
          <w:rFonts w:ascii="Times New Roman" w:hAnsi="Times New Roman" w:cs="Times New Roman"/>
          <w:b/>
          <w:sz w:val="23"/>
          <w:szCs w:val="23"/>
          <w:vertAlign w:val="superscript"/>
        </w:rPr>
        <w:t>®</w:t>
      </w:r>
    </w:p>
    <w:p w:rsidR="00173CB6" w:rsidRDefault="00173CB6" w:rsidP="00074022">
      <w:pPr>
        <w:spacing w:line="24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Регистрационный номер: 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Торговое название препарата: </w:t>
      </w:r>
      <w:proofErr w:type="spellStart"/>
      <w:r w:rsidR="00E37034">
        <w:rPr>
          <w:rFonts w:ascii="Times New Roman" w:hAnsi="Times New Roman" w:cs="Times New Roman"/>
          <w:sz w:val="23"/>
          <w:szCs w:val="23"/>
        </w:rPr>
        <w:t>Пикамилон</w:t>
      </w:r>
      <w:proofErr w:type="spellEnd"/>
      <w:r w:rsidR="00E37034">
        <w:rPr>
          <w:rFonts w:ascii="Times New Roman" w:hAnsi="Times New Roman" w:cs="Times New Roman"/>
          <w:sz w:val="23"/>
          <w:szCs w:val="23"/>
        </w:rPr>
        <w:t>®</w:t>
      </w:r>
      <w:r w:rsidRPr="00BF75C8">
        <w:rPr>
          <w:rFonts w:ascii="Times New Roman" w:hAnsi="Times New Roman" w:cs="Times New Roman"/>
          <w:sz w:val="23"/>
          <w:szCs w:val="23"/>
        </w:rPr>
        <w:t xml:space="preserve"> 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>М</w:t>
      </w:r>
      <w:r>
        <w:rPr>
          <w:rFonts w:ascii="Times New Roman" w:hAnsi="Times New Roman" w:cs="Times New Roman"/>
          <w:b/>
          <w:bCs/>
          <w:sz w:val="23"/>
          <w:szCs w:val="23"/>
        </w:rPr>
        <w:t>еждународное непатентованное</w:t>
      </w: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 или </w:t>
      </w:r>
      <w:proofErr w:type="spellStart"/>
      <w:r w:rsidRPr="00BF75C8">
        <w:rPr>
          <w:rFonts w:ascii="Times New Roman" w:hAnsi="Times New Roman" w:cs="Times New Roman"/>
          <w:b/>
          <w:bCs/>
          <w:sz w:val="23"/>
          <w:szCs w:val="23"/>
        </w:rPr>
        <w:t>группировочное</w:t>
      </w:r>
      <w:proofErr w:type="spellEnd"/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 название: </w:t>
      </w:r>
      <w:proofErr w:type="spellStart"/>
      <w:r w:rsidRPr="00BF75C8">
        <w:rPr>
          <w:rFonts w:ascii="Times New Roman" w:hAnsi="Times New Roman" w:cs="Times New Roman"/>
          <w:sz w:val="23"/>
          <w:szCs w:val="23"/>
        </w:rPr>
        <w:t>никотин</w:t>
      </w:r>
      <w:r w:rsidR="00E37034">
        <w:rPr>
          <w:rFonts w:ascii="Times New Roman" w:hAnsi="Times New Roman" w:cs="Times New Roman"/>
          <w:sz w:val="23"/>
          <w:szCs w:val="23"/>
        </w:rPr>
        <w:t>оил</w:t>
      </w:r>
      <w:proofErr w:type="spellEnd"/>
      <w:r w:rsidR="00E37034">
        <w:rPr>
          <w:rFonts w:ascii="Times New Roman" w:hAnsi="Times New Roman" w:cs="Times New Roman"/>
          <w:sz w:val="23"/>
          <w:szCs w:val="23"/>
        </w:rPr>
        <w:t xml:space="preserve"> гамма-аминомасляная кислота</w:t>
      </w:r>
      <w:r w:rsidRPr="00BF75C8">
        <w:rPr>
          <w:rFonts w:ascii="Times New Roman" w:hAnsi="Times New Roman" w:cs="Times New Roman"/>
          <w:sz w:val="23"/>
          <w:szCs w:val="23"/>
        </w:rPr>
        <w:t xml:space="preserve"> 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Химическое название: </w:t>
      </w:r>
      <w:r w:rsidRPr="00BF75C8">
        <w:rPr>
          <w:rFonts w:ascii="Times New Roman" w:hAnsi="Times New Roman" w:cs="Times New Roman"/>
          <w:sz w:val="23"/>
          <w:szCs w:val="23"/>
        </w:rPr>
        <w:t>натриевая соль N-</w:t>
      </w:r>
      <w:proofErr w:type="spellStart"/>
      <w:r w:rsidRPr="00BF75C8">
        <w:rPr>
          <w:rFonts w:ascii="Times New Roman" w:hAnsi="Times New Roman" w:cs="Times New Roman"/>
          <w:sz w:val="23"/>
          <w:szCs w:val="23"/>
        </w:rPr>
        <w:t>никотиноил</w:t>
      </w:r>
      <w:proofErr w:type="spellEnd"/>
      <w:r w:rsidRPr="00BF75C8">
        <w:rPr>
          <w:rFonts w:ascii="Times New Roman" w:hAnsi="Times New Roman" w:cs="Times New Roman"/>
          <w:sz w:val="23"/>
          <w:szCs w:val="23"/>
        </w:rPr>
        <w:t>-гамма</w:t>
      </w:r>
      <w:r w:rsidR="00E37034">
        <w:rPr>
          <w:rFonts w:ascii="Times New Roman" w:hAnsi="Times New Roman" w:cs="Times New Roman"/>
          <w:sz w:val="23"/>
          <w:szCs w:val="23"/>
        </w:rPr>
        <w:t>-аминомасляной кислоты</w:t>
      </w:r>
      <w:r w:rsidRPr="00BF75C8">
        <w:rPr>
          <w:rFonts w:ascii="Times New Roman" w:hAnsi="Times New Roman" w:cs="Times New Roman"/>
          <w:sz w:val="23"/>
          <w:szCs w:val="23"/>
        </w:rPr>
        <w:t xml:space="preserve"> 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Лекарственная форма: </w:t>
      </w:r>
      <w:r w:rsidR="00E37034">
        <w:rPr>
          <w:rFonts w:ascii="Times New Roman" w:hAnsi="Times New Roman" w:cs="Times New Roman"/>
          <w:sz w:val="23"/>
          <w:szCs w:val="23"/>
        </w:rPr>
        <w:t>таблетки</w:t>
      </w:r>
      <w:r w:rsidRPr="00BF75C8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37034" w:rsidRDefault="00E37034" w:rsidP="00074022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Описание: </w:t>
      </w:r>
      <w:r w:rsidRPr="00E37034">
        <w:rPr>
          <w:rFonts w:ascii="Times New Roman" w:hAnsi="Times New Roman" w:cs="Times New Roman"/>
          <w:bCs/>
          <w:sz w:val="23"/>
          <w:szCs w:val="23"/>
        </w:rPr>
        <w:t xml:space="preserve">круглые плоскоцилиндрические таблетки белого цвета с </w:t>
      </w:r>
      <w:r w:rsidRPr="00E37034">
        <w:rPr>
          <w:rFonts w:ascii="Times New Roman" w:hAnsi="Times New Roman" w:cs="Times New Roman"/>
          <w:sz w:val="23"/>
          <w:szCs w:val="23"/>
        </w:rPr>
        <w:t>фаской</w:t>
      </w:r>
      <w:r w:rsidRPr="00BF75C8">
        <w:rPr>
          <w:rFonts w:ascii="Times New Roman" w:hAnsi="Times New Roman" w:cs="Times New Roman"/>
          <w:sz w:val="23"/>
          <w:szCs w:val="23"/>
        </w:rPr>
        <w:t xml:space="preserve"> (дозировка 20 мг) и фаской и риской (дозировка 50 мг). </w:t>
      </w:r>
    </w:p>
    <w:p w:rsidR="00E37034" w:rsidRDefault="00E37034" w:rsidP="00074022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Состав на одну таблетку </w:t>
      </w:r>
    </w:p>
    <w:p w:rsidR="00173CB6" w:rsidRPr="00E37034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b/>
          <w:bCs/>
          <w:i/>
          <w:sz w:val="23"/>
          <w:szCs w:val="23"/>
        </w:rPr>
      </w:pPr>
      <w:r w:rsidRPr="00E37034">
        <w:rPr>
          <w:rFonts w:ascii="Times New Roman" w:hAnsi="Times New Roman" w:cs="Times New Roman"/>
          <w:b/>
          <w:bCs/>
          <w:i/>
          <w:sz w:val="23"/>
          <w:szCs w:val="23"/>
        </w:rPr>
        <w:t>Действующее вещество:</w:t>
      </w:r>
    </w:p>
    <w:p w:rsidR="00173CB6" w:rsidRPr="00E37034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proofErr w:type="spellStart"/>
      <w:r w:rsidRPr="00E37034">
        <w:rPr>
          <w:rFonts w:ascii="Times New Roman" w:hAnsi="Times New Roman" w:cs="Times New Roman"/>
          <w:bCs/>
          <w:sz w:val="23"/>
          <w:szCs w:val="23"/>
        </w:rPr>
        <w:t>Никотиноил</w:t>
      </w:r>
      <w:proofErr w:type="spellEnd"/>
      <w:r w:rsidRPr="00E37034">
        <w:rPr>
          <w:rFonts w:ascii="Times New Roman" w:hAnsi="Times New Roman" w:cs="Times New Roman"/>
          <w:bCs/>
          <w:sz w:val="23"/>
          <w:szCs w:val="23"/>
        </w:rPr>
        <w:t xml:space="preserve"> гамма-</w:t>
      </w:r>
      <w:proofErr w:type="spellStart"/>
      <w:r w:rsidRPr="00E37034">
        <w:rPr>
          <w:rFonts w:ascii="Times New Roman" w:hAnsi="Times New Roman" w:cs="Times New Roman"/>
          <w:bCs/>
          <w:sz w:val="23"/>
          <w:szCs w:val="23"/>
        </w:rPr>
        <w:t>аминобутират</w:t>
      </w:r>
      <w:proofErr w:type="spellEnd"/>
      <w:r w:rsidRPr="00E37034">
        <w:rPr>
          <w:rFonts w:ascii="Times New Roman" w:hAnsi="Times New Roman" w:cs="Times New Roman"/>
          <w:bCs/>
          <w:sz w:val="23"/>
          <w:szCs w:val="23"/>
        </w:rPr>
        <w:t xml:space="preserve"> натрия – 20,00 мг или 50,00 мг.</w:t>
      </w:r>
    </w:p>
    <w:p w:rsidR="00173CB6" w:rsidRPr="00E37034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b/>
          <w:bCs/>
          <w:i/>
          <w:sz w:val="23"/>
          <w:szCs w:val="23"/>
        </w:rPr>
      </w:pPr>
      <w:r w:rsidRPr="00E37034">
        <w:rPr>
          <w:rFonts w:ascii="Times New Roman" w:hAnsi="Times New Roman" w:cs="Times New Roman"/>
          <w:b/>
          <w:bCs/>
          <w:i/>
          <w:sz w:val="23"/>
          <w:szCs w:val="23"/>
        </w:rPr>
        <w:t>Вспомогательные вещества:</w:t>
      </w:r>
    </w:p>
    <w:p w:rsidR="00173CB6" w:rsidRPr="00E37034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Cs/>
          <w:sz w:val="23"/>
          <w:szCs w:val="23"/>
        </w:rPr>
        <w:t xml:space="preserve">Крахмал картофельный – 18,70 мг или 46,78 мг, крахмал кукурузный – 0,60 мг или 1,47 мг, магния </w:t>
      </w:r>
      <w:proofErr w:type="spellStart"/>
      <w:r w:rsidRPr="00E37034">
        <w:rPr>
          <w:rFonts w:ascii="Times New Roman" w:hAnsi="Times New Roman" w:cs="Times New Roman"/>
          <w:bCs/>
          <w:sz w:val="23"/>
          <w:szCs w:val="23"/>
        </w:rPr>
        <w:t>гидроксикарбонат</w:t>
      </w:r>
      <w:proofErr w:type="spellEnd"/>
      <w:r w:rsidRPr="00E37034">
        <w:rPr>
          <w:rFonts w:ascii="Times New Roman" w:hAnsi="Times New Roman" w:cs="Times New Roman"/>
          <w:bCs/>
          <w:sz w:val="23"/>
          <w:szCs w:val="23"/>
        </w:rPr>
        <w:t xml:space="preserve"> (магния карбонат </w:t>
      </w:r>
      <w:proofErr w:type="spellStart"/>
      <w:r w:rsidRPr="00E37034">
        <w:rPr>
          <w:rFonts w:ascii="Times New Roman" w:hAnsi="Times New Roman" w:cs="Times New Roman"/>
          <w:bCs/>
          <w:sz w:val="23"/>
          <w:szCs w:val="23"/>
        </w:rPr>
        <w:t>оснвной</w:t>
      </w:r>
      <w:proofErr w:type="spellEnd"/>
      <w:r w:rsidRPr="00E37034">
        <w:rPr>
          <w:rFonts w:ascii="Times New Roman" w:hAnsi="Times New Roman" w:cs="Times New Roman"/>
          <w:bCs/>
          <w:sz w:val="23"/>
          <w:szCs w:val="23"/>
        </w:rPr>
        <w:t xml:space="preserve">) – 15,53 мг или 38,82 мг, сахароза (сахар белый) – 42,55 мг или 106, 38 мг, кальция </w:t>
      </w:r>
      <w:proofErr w:type="spellStart"/>
      <w:r w:rsidRPr="00E37034">
        <w:rPr>
          <w:rFonts w:ascii="Times New Roman" w:hAnsi="Times New Roman" w:cs="Times New Roman"/>
          <w:bCs/>
          <w:sz w:val="23"/>
          <w:szCs w:val="23"/>
        </w:rPr>
        <w:t>стеарат</w:t>
      </w:r>
      <w:proofErr w:type="spellEnd"/>
      <w:r w:rsidRPr="00E37034">
        <w:rPr>
          <w:rFonts w:ascii="Times New Roman" w:hAnsi="Times New Roman" w:cs="Times New Roman"/>
          <w:bCs/>
          <w:sz w:val="23"/>
          <w:szCs w:val="23"/>
        </w:rPr>
        <w:t xml:space="preserve"> – 1,00 мг или 2,50 мг, тальк – 1,62 мг ил 4,05 мг. </w:t>
      </w:r>
    </w:p>
    <w:p w:rsidR="00E37034" w:rsidRDefault="00E37034" w:rsidP="00074022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Фармакотерапевтическая группа: </w:t>
      </w:r>
      <w:proofErr w:type="spellStart"/>
      <w:r w:rsidRPr="00BF75C8">
        <w:rPr>
          <w:rFonts w:ascii="Times New Roman" w:hAnsi="Times New Roman" w:cs="Times New Roman"/>
          <w:sz w:val="23"/>
          <w:szCs w:val="23"/>
        </w:rPr>
        <w:t>ноотропное</w:t>
      </w:r>
      <w:proofErr w:type="spellEnd"/>
      <w:r w:rsidRPr="00BF75C8">
        <w:rPr>
          <w:rFonts w:ascii="Times New Roman" w:hAnsi="Times New Roman" w:cs="Times New Roman"/>
          <w:sz w:val="23"/>
          <w:szCs w:val="23"/>
        </w:rPr>
        <w:t xml:space="preserve"> средство. 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Код АТС: </w:t>
      </w:r>
      <w:r w:rsidRPr="00BF75C8">
        <w:rPr>
          <w:rFonts w:ascii="Times New Roman" w:hAnsi="Times New Roman" w:cs="Times New Roman"/>
          <w:sz w:val="23"/>
          <w:szCs w:val="23"/>
        </w:rPr>
        <w:t xml:space="preserve">[N06BX]. </w:t>
      </w:r>
    </w:p>
    <w:p w:rsidR="00E37034" w:rsidRDefault="00E37034" w:rsidP="00074022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Фармакологические свойства 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BF75C8">
        <w:rPr>
          <w:rFonts w:ascii="Times New Roman" w:hAnsi="Times New Roman" w:cs="Times New Roman"/>
          <w:b/>
          <w:bCs/>
          <w:sz w:val="23"/>
          <w:szCs w:val="23"/>
        </w:rPr>
        <w:t>Фармакодинамика</w:t>
      </w:r>
      <w:proofErr w:type="spellEnd"/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BF75C8">
        <w:rPr>
          <w:rFonts w:ascii="Times New Roman" w:hAnsi="Times New Roman" w:cs="Times New Roman"/>
          <w:sz w:val="23"/>
          <w:szCs w:val="23"/>
        </w:rPr>
        <w:t>Ноотропное</w:t>
      </w:r>
      <w:proofErr w:type="spellEnd"/>
      <w:r w:rsidRPr="00BF75C8">
        <w:rPr>
          <w:rFonts w:ascii="Times New Roman" w:hAnsi="Times New Roman" w:cs="Times New Roman"/>
          <w:sz w:val="23"/>
          <w:szCs w:val="23"/>
        </w:rPr>
        <w:t xml:space="preserve"> средство, расширяет сосуды головного мозга. Оказывает также транквилизирующее, психостимулирующее, </w:t>
      </w:r>
      <w:proofErr w:type="spellStart"/>
      <w:r w:rsidRPr="00BF75C8">
        <w:rPr>
          <w:rFonts w:ascii="Times New Roman" w:hAnsi="Times New Roman" w:cs="Times New Roman"/>
          <w:sz w:val="23"/>
          <w:szCs w:val="23"/>
        </w:rPr>
        <w:t>антиагрегантное</w:t>
      </w:r>
      <w:proofErr w:type="spellEnd"/>
      <w:r w:rsidRPr="00BF75C8">
        <w:rPr>
          <w:rFonts w:ascii="Times New Roman" w:hAnsi="Times New Roman" w:cs="Times New Roman"/>
          <w:sz w:val="23"/>
          <w:szCs w:val="23"/>
        </w:rPr>
        <w:t xml:space="preserve"> и антиоксидантное действие. </w:t>
      </w:r>
      <w:r w:rsidRPr="00BF75C8">
        <w:rPr>
          <w:rFonts w:ascii="Times New Roman" w:hAnsi="Times New Roman" w:cs="Times New Roman"/>
          <w:sz w:val="23"/>
          <w:szCs w:val="23"/>
        </w:rPr>
        <w:lastRenderedPageBreak/>
        <w:t xml:space="preserve">Улучшает функциональное состояние мозга за счет нормализации метаболизма тканей и влияния на мозговое кровообращение (увеличивает объемную и линейную скорость мозгового кровотока, уменьшает сопротивление сосудов, ингибируя агрегацию тромбоцитов, улучшает микроциркуляцию). 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>При курсовом приеме повышает физическую и умственную работоспособность, уменьшает головную боль, улучшает память, нормализует сон; способствует снижению или</w:t>
      </w:r>
      <w:r w:rsidR="00074022">
        <w:rPr>
          <w:rFonts w:ascii="Times New Roman" w:hAnsi="Times New Roman" w:cs="Times New Roman"/>
          <w:sz w:val="23"/>
          <w:szCs w:val="23"/>
        </w:rPr>
        <w:t xml:space="preserve"> </w:t>
      </w:r>
      <w:r w:rsidRPr="00BF75C8">
        <w:rPr>
          <w:rFonts w:ascii="Times New Roman" w:hAnsi="Times New Roman" w:cs="Times New Roman"/>
          <w:sz w:val="23"/>
          <w:szCs w:val="23"/>
        </w:rPr>
        <w:t xml:space="preserve">исчезновению чувства тревоги, напряжения, страха; улучшает состояние больных с двигательными и речевыми нарушениями, уменьшает угнетающее влияние этанола на центральную нервную систему. Улучшает кровообращение в сосудах сетчатки и зрительного нерва. 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BF75C8">
        <w:rPr>
          <w:rFonts w:ascii="Times New Roman" w:hAnsi="Times New Roman" w:cs="Times New Roman"/>
          <w:b/>
          <w:bCs/>
          <w:sz w:val="23"/>
          <w:szCs w:val="23"/>
        </w:rPr>
        <w:t>Фармакокинетика</w:t>
      </w:r>
      <w:proofErr w:type="spellEnd"/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Абсорбция - быстрая и полная. Проникает через гематоэнцефалический барьер, длительно удерживаясь в тканях организма. </w:t>
      </w:r>
      <w:proofErr w:type="spellStart"/>
      <w:r w:rsidRPr="00BF75C8">
        <w:rPr>
          <w:rFonts w:ascii="Times New Roman" w:hAnsi="Times New Roman" w:cs="Times New Roman"/>
          <w:sz w:val="23"/>
          <w:szCs w:val="23"/>
        </w:rPr>
        <w:t>Биодоступность</w:t>
      </w:r>
      <w:proofErr w:type="spellEnd"/>
      <w:r w:rsidRPr="00BF75C8">
        <w:rPr>
          <w:rFonts w:ascii="Times New Roman" w:hAnsi="Times New Roman" w:cs="Times New Roman"/>
          <w:sz w:val="23"/>
          <w:szCs w:val="23"/>
        </w:rPr>
        <w:t xml:space="preserve"> - 50-88 %. Выводится, в основном, почками в неизменном виде. Период полувыведения - 0,51 ч. </w:t>
      </w:r>
    </w:p>
    <w:p w:rsidR="00E37034" w:rsidRDefault="00E37034" w:rsidP="00074022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Показания к применению 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Комплексная терапия ишемических нарушений мозгового кровообращения легкой и средней тяжести, хроническая цереброваскулярная недостаточность, состояние после черепно-мозговых травм, лечение хронического алкоголизма (для уменьшения астенических, </w:t>
      </w:r>
      <w:proofErr w:type="spellStart"/>
      <w:r w:rsidRPr="00BF75C8">
        <w:rPr>
          <w:rFonts w:ascii="Times New Roman" w:hAnsi="Times New Roman" w:cs="Times New Roman"/>
          <w:sz w:val="23"/>
          <w:szCs w:val="23"/>
        </w:rPr>
        <w:t>астеноневротических</w:t>
      </w:r>
      <w:proofErr w:type="spellEnd"/>
      <w:r w:rsidRPr="00BF75C8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BF75C8">
        <w:rPr>
          <w:rFonts w:ascii="Times New Roman" w:hAnsi="Times New Roman" w:cs="Times New Roman"/>
          <w:sz w:val="23"/>
          <w:szCs w:val="23"/>
        </w:rPr>
        <w:t>постпсихотических</w:t>
      </w:r>
      <w:proofErr w:type="spellEnd"/>
      <w:r w:rsidRPr="00BF75C8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BF75C8">
        <w:rPr>
          <w:rFonts w:ascii="Times New Roman" w:hAnsi="Times New Roman" w:cs="Times New Roman"/>
          <w:sz w:val="23"/>
          <w:szCs w:val="23"/>
        </w:rPr>
        <w:t>предрецидивных</w:t>
      </w:r>
      <w:proofErr w:type="spellEnd"/>
      <w:r w:rsidRPr="00BF75C8">
        <w:rPr>
          <w:rFonts w:ascii="Times New Roman" w:hAnsi="Times New Roman" w:cs="Times New Roman"/>
          <w:sz w:val="23"/>
          <w:szCs w:val="23"/>
        </w:rPr>
        <w:t xml:space="preserve"> состояний, а также алкогольной энцефалопатии). 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В составе комплексной терапии для профилактики мигрени. 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В составе комплексной терапии первичной </w:t>
      </w:r>
      <w:proofErr w:type="spellStart"/>
      <w:r w:rsidRPr="00BF75C8">
        <w:rPr>
          <w:rFonts w:ascii="Times New Roman" w:hAnsi="Times New Roman" w:cs="Times New Roman"/>
          <w:sz w:val="23"/>
          <w:szCs w:val="23"/>
        </w:rPr>
        <w:t>открытоугольной</w:t>
      </w:r>
      <w:proofErr w:type="spellEnd"/>
      <w:r w:rsidRPr="00BF75C8">
        <w:rPr>
          <w:rFonts w:ascii="Times New Roman" w:hAnsi="Times New Roman" w:cs="Times New Roman"/>
          <w:sz w:val="23"/>
          <w:szCs w:val="23"/>
        </w:rPr>
        <w:t xml:space="preserve"> глаукомы с компенсированным давлением, при заболеваниях сетчатки и зрительного нерва сосудистого генеза. 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В урологической практике (у детей старше 3-х лет и у взрослых с расстройствами мочеиспускания для улучшения адаптационной функции мочевого пузыря (снижение гипоксии </w:t>
      </w:r>
      <w:proofErr w:type="spellStart"/>
      <w:r w:rsidRPr="00BF75C8">
        <w:rPr>
          <w:rFonts w:ascii="Times New Roman" w:hAnsi="Times New Roman" w:cs="Times New Roman"/>
          <w:sz w:val="23"/>
          <w:szCs w:val="23"/>
        </w:rPr>
        <w:t>детрузора</w:t>
      </w:r>
      <w:proofErr w:type="spellEnd"/>
      <w:r w:rsidRPr="00BF75C8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В комплексной терапии синдрома дистонии, сопровождающейся тревогой, страхом, повышенной раздражительностью, эмоциональной лабильностью. </w:t>
      </w:r>
    </w:p>
    <w:p w:rsidR="00E37034" w:rsidRDefault="00E37034" w:rsidP="00074022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Противопоказания </w:t>
      </w:r>
    </w:p>
    <w:p w:rsidR="00173CB6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Гиперчувствительность, хроническая почечная недостаточность, беременность, период грудного вскармливания, детский возраст до 3 лет (у детей старше 3 лет применяется только </w:t>
      </w:r>
      <w:r w:rsidRPr="00BF75C8">
        <w:rPr>
          <w:rFonts w:ascii="Times New Roman" w:hAnsi="Times New Roman" w:cs="Times New Roman"/>
          <w:sz w:val="23"/>
          <w:szCs w:val="23"/>
        </w:rPr>
        <w:lastRenderedPageBreak/>
        <w:t xml:space="preserve">при расстройствах мочеиспускания), дефицит сахарозы/изомальтозы, непереносимость фруктозы, </w:t>
      </w:r>
      <w:proofErr w:type="spellStart"/>
      <w:r w:rsidRPr="00BF75C8">
        <w:rPr>
          <w:rFonts w:ascii="Times New Roman" w:hAnsi="Times New Roman" w:cs="Times New Roman"/>
          <w:sz w:val="23"/>
          <w:szCs w:val="23"/>
        </w:rPr>
        <w:t>глюкозо-галактозная</w:t>
      </w:r>
      <w:proofErr w:type="spellEnd"/>
      <w:r w:rsidRPr="00BF75C8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BF75C8">
        <w:rPr>
          <w:rFonts w:ascii="Times New Roman" w:hAnsi="Times New Roman" w:cs="Times New Roman"/>
          <w:sz w:val="23"/>
          <w:szCs w:val="23"/>
        </w:rPr>
        <w:t>мальабсорбция</w:t>
      </w:r>
      <w:proofErr w:type="spellEnd"/>
      <w:r w:rsidRPr="00BF75C8">
        <w:rPr>
          <w:rFonts w:ascii="Times New Roman" w:hAnsi="Times New Roman" w:cs="Times New Roman"/>
          <w:sz w:val="23"/>
          <w:szCs w:val="23"/>
        </w:rPr>
        <w:t>.</w:t>
      </w:r>
    </w:p>
    <w:p w:rsidR="00E15143" w:rsidRPr="00BF75C8" w:rsidRDefault="00E15143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173CB6" w:rsidRPr="00E37034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37034">
        <w:rPr>
          <w:rFonts w:ascii="Times New Roman" w:hAnsi="Times New Roman" w:cs="Times New Roman"/>
          <w:b/>
          <w:sz w:val="23"/>
          <w:szCs w:val="23"/>
        </w:rPr>
        <w:t>Применение при беременности и в период грудного вскармливания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>Не рекомендуется применение препарата при б</w:t>
      </w:r>
      <w:r w:rsidR="00074022">
        <w:rPr>
          <w:rFonts w:ascii="Times New Roman" w:hAnsi="Times New Roman" w:cs="Times New Roman"/>
          <w:sz w:val="23"/>
          <w:szCs w:val="23"/>
        </w:rPr>
        <w:t xml:space="preserve">еременности и в период грудного </w:t>
      </w:r>
      <w:r w:rsidRPr="00BF75C8">
        <w:rPr>
          <w:rFonts w:ascii="Times New Roman" w:hAnsi="Times New Roman" w:cs="Times New Roman"/>
          <w:sz w:val="23"/>
          <w:szCs w:val="23"/>
        </w:rPr>
        <w:t>вскармливания в связи с отсутствием опыта клинического применения у данной категории пациентов.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 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Способ применения и дозы 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Препарат принимают внутрь, независимо от приема пищи. 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>При цереброваскулярных заболеваниях</w:t>
      </w:r>
      <w:r w:rsidRPr="00BF75C8">
        <w:rPr>
          <w:rFonts w:ascii="Times New Roman" w:hAnsi="Times New Roman" w:cs="Times New Roman"/>
          <w:sz w:val="23"/>
          <w:szCs w:val="23"/>
        </w:rPr>
        <w:t xml:space="preserve"> разовая доза - 20-50 мг 2-3 раза в сутки, в суточной дозе 60-150 мг. Курс лечения - 1-2 месяца. Повторный курс через 5-6 мес. 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>Для профилактики приступов мигрени</w:t>
      </w:r>
      <w:r w:rsidRPr="00BF75C8">
        <w:rPr>
          <w:rFonts w:ascii="Times New Roman" w:hAnsi="Times New Roman" w:cs="Times New Roman"/>
          <w:sz w:val="23"/>
          <w:szCs w:val="23"/>
        </w:rPr>
        <w:t xml:space="preserve"> по 50 мг 3 раза в день, для купирования приступа - по 100 мг однократно. 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>Депрессивные состояния позднего возраста</w:t>
      </w:r>
      <w:r w:rsidRPr="00BF75C8">
        <w:rPr>
          <w:rFonts w:ascii="Times New Roman" w:hAnsi="Times New Roman" w:cs="Times New Roman"/>
          <w:sz w:val="23"/>
          <w:szCs w:val="23"/>
        </w:rPr>
        <w:t xml:space="preserve"> - 40-200 мг в сутки за 2-3 приема, оптимальная дозировка - 60-120 мг в </w:t>
      </w:r>
      <w:proofErr w:type="spellStart"/>
      <w:r w:rsidRPr="00BF75C8">
        <w:rPr>
          <w:rFonts w:ascii="Times New Roman" w:hAnsi="Times New Roman" w:cs="Times New Roman"/>
          <w:sz w:val="23"/>
          <w:szCs w:val="23"/>
        </w:rPr>
        <w:t>сут</w:t>
      </w:r>
      <w:proofErr w:type="spellEnd"/>
      <w:r w:rsidRPr="00BF75C8">
        <w:rPr>
          <w:rFonts w:ascii="Times New Roman" w:hAnsi="Times New Roman" w:cs="Times New Roman"/>
          <w:sz w:val="23"/>
          <w:szCs w:val="23"/>
        </w:rPr>
        <w:t xml:space="preserve">, в течение 1,5-3 месяцев. 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 xml:space="preserve">В качестве астенического и </w:t>
      </w:r>
      <w:proofErr w:type="spellStart"/>
      <w:r w:rsidRPr="00E37034">
        <w:rPr>
          <w:rFonts w:ascii="Times New Roman" w:hAnsi="Times New Roman" w:cs="Times New Roman"/>
          <w:b/>
          <w:i/>
          <w:sz w:val="23"/>
          <w:szCs w:val="23"/>
        </w:rPr>
        <w:t>анксиолитического</w:t>
      </w:r>
      <w:proofErr w:type="spellEnd"/>
      <w:r w:rsidRPr="00E37034">
        <w:rPr>
          <w:rFonts w:ascii="Times New Roman" w:hAnsi="Times New Roman" w:cs="Times New Roman"/>
          <w:b/>
          <w:i/>
          <w:sz w:val="23"/>
          <w:szCs w:val="23"/>
        </w:rPr>
        <w:t xml:space="preserve"> средства</w:t>
      </w:r>
      <w:r w:rsidRPr="00BF75C8">
        <w:rPr>
          <w:rFonts w:ascii="Times New Roman" w:hAnsi="Times New Roman" w:cs="Times New Roman"/>
          <w:sz w:val="23"/>
          <w:szCs w:val="23"/>
        </w:rPr>
        <w:t xml:space="preserve"> по 40-80 мг в сутки, при необходимости до 200-300 мг в </w:t>
      </w:r>
      <w:proofErr w:type="spellStart"/>
      <w:r w:rsidRPr="00BF75C8">
        <w:rPr>
          <w:rFonts w:ascii="Times New Roman" w:hAnsi="Times New Roman" w:cs="Times New Roman"/>
          <w:sz w:val="23"/>
          <w:szCs w:val="23"/>
        </w:rPr>
        <w:t>сут</w:t>
      </w:r>
      <w:proofErr w:type="spellEnd"/>
      <w:r w:rsidRPr="00BF75C8">
        <w:rPr>
          <w:rFonts w:ascii="Times New Roman" w:hAnsi="Times New Roman" w:cs="Times New Roman"/>
          <w:sz w:val="23"/>
          <w:szCs w:val="23"/>
        </w:rPr>
        <w:t xml:space="preserve">, в течение 1-1,5 месяцев. 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>При алкоголизме в период абстиненции</w:t>
      </w:r>
      <w:r w:rsidRPr="00BF75C8">
        <w:rPr>
          <w:rFonts w:ascii="Times New Roman" w:hAnsi="Times New Roman" w:cs="Times New Roman"/>
          <w:sz w:val="23"/>
          <w:szCs w:val="23"/>
        </w:rPr>
        <w:t xml:space="preserve"> - 100-150 мг в сутки, коротким курсом 6-7 дней; при более стойких нарушениях вне абстиненции суточная доза 40-60 мг - в течение 4-5 недель. 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>Для восстановления работоспособности и при повышенных нагрузках</w:t>
      </w:r>
      <w:r w:rsidRPr="00BF75C8">
        <w:rPr>
          <w:rFonts w:ascii="Times New Roman" w:hAnsi="Times New Roman" w:cs="Times New Roman"/>
          <w:sz w:val="23"/>
          <w:szCs w:val="23"/>
        </w:rPr>
        <w:t xml:space="preserve"> по 60-80 мг в сутки в течение 1-1,5 месяцев, для спортсменов в той же дозе, в течение 2 недель тренировочного периода. 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 xml:space="preserve">При первичной </w:t>
      </w:r>
      <w:proofErr w:type="spellStart"/>
      <w:r w:rsidRPr="00E37034">
        <w:rPr>
          <w:rFonts w:ascii="Times New Roman" w:hAnsi="Times New Roman" w:cs="Times New Roman"/>
          <w:b/>
          <w:i/>
          <w:sz w:val="23"/>
          <w:szCs w:val="23"/>
        </w:rPr>
        <w:t>открытоугольной</w:t>
      </w:r>
      <w:proofErr w:type="spellEnd"/>
      <w:r w:rsidRPr="00E37034">
        <w:rPr>
          <w:rFonts w:ascii="Times New Roman" w:hAnsi="Times New Roman" w:cs="Times New Roman"/>
          <w:b/>
          <w:i/>
          <w:sz w:val="23"/>
          <w:szCs w:val="23"/>
        </w:rPr>
        <w:t xml:space="preserve"> глаукоме</w:t>
      </w:r>
      <w:r w:rsidRPr="00BF75C8">
        <w:rPr>
          <w:rFonts w:ascii="Times New Roman" w:hAnsi="Times New Roman" w:cs="Times New Roman"/>
          <w:sz w:val="23"/>
          <w:szCs w:val="23"/>
        </w:rPr>
        <w:t xml:space="preserve"> - по 50 мг 3 раза в день в течение 1 месяца. 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>При заболеваниях сетчатки и зрительного нерва</w:t>
      </w:r>
      <w:r w:rsidRPr="00BF75C8">
        <w:rPr>
          <w:rFonts w:ascii="Times New Roman" w:hAnsi="Times New Roman" w:cs="Times New Roman"/>
          <w:sz w:val="23"/>
          <w:szCs w:val="23"/>
        </w:rPr>
        <w:t xml:space="preserve"> первые 12 дней вводят внутримышечно, затем в зависимости от состояния назначают внутрь по 20-50 мг 3 раза в день в суточной дозе 60-150 мг в течение 1 мес. 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>При расстройствах мочеиспускания</w:t>
      </w:r>
      <w:r w:rsidRPr="00BF75C8">
        <w:rPr>
          <w:rFonts w:ascii="Times New Roman" w:hAnsi="Times New Roman" w:cs="Times New Roman"/>
          <w:sz w:val="23"/>
          <w:szCs w:val="23"/>
        </w:rPr>
        <w:t xml:space="preserve"> по 20 мг 2 раза в день (для детей от 3 до 10 лет), 50 мг 2 раза в день (для детей от 11 до 15 лет), 50 мг 3 раза в день (для пациентов старше 15 лет). Курс лечения 1 мес. </w:t>
      </w:r>
    </w:p>
    <w:p w:rsidR="00E37034" w:rsidRDefault="00E37034" w:rsidP="00074022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lastRenderedPageBreak/>
        <w:t xml:space="preserve">Побочное действие 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Аллергические реакции (кожная сыпь, зуд), головокружение, головная боль, легкая тошнота, раздражительность, тревога, возбуждение. 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>При появлении вышеперечисленных признаков немедленно обратитесь к врачу.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>Если любые из указанных в инструкции побочных эффектов усугубляются, или вы заметили любые другие побочные эффекты, не указанные в инструкции, сообщите об этом врачу.</w:t>
      </w:r>
    </w:p>
    <w:p w:rsidR="00E37034" w:rsidRDefault="00E37034" w:rsidP="00074022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Передозировка 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Усиление выраженности симптомов побочного действия. Лечение симптоматическое. 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Взаимодействие с другими лекарственными средствами </w:t>
      </w: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Укорачивает действие барбитуратов, усиливает действие опиоидных анальгетиков. </w:t>
      </w:r>
    </w:p>
    <w:p w:rsidR="00E37034" w:rsidRDefault="00E37034" w:rsidP="00074022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>Особые указания</w:t>
      </w:r>
    </w:p>
    <w:p w:rsidR="00173CB6" w:rsidRPr="00E37034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37034">
        <w:rPr>
          <w:rFonts w:ascii="Times New Roman" w:hAnsi="Times New Roman" w:cs="Times New Roman"/>
          <w:bCs/>
          <w:sz w:val="23"/>
          <w:szCs w:val="23"/>
        </w:rPr>
        <w:t>Перед началом приема препарата необходимо проконсультироваться с врачом.</w:t>
      </w:r>
    </w:p>
    <w:p w:rsidR="00E37034" w:rsidRPr="00BF75C8" w:rsidRDefault="00E37034" w:rsidP="00074022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>Влияние на способность управлять транспортными средствами и механизмами</w:t>
      </w:r>
    </w:p>
    <w:p w:rsidR="00173CB6" w:rsidRPr="00E37034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37034">
        <w:rPr>
          <w:rFonts w:ascii="Times New Roman" w:hAnsi="Times New Roman" w:cs="Times New Roman"/>
          <w:bCs/>
          <w:sz w:val="23"/>
          <w:szCs w:val="23"/>
        </w:rPr>
        <w:t>В связи с возможностью возникновения головокружения и других побочных эффектов, связанных с приемом препарата, в период лечения пациентам рекомендуется воздержаться от управления автотранспортом и занятий други</w:t>
      </w:r>
      <w:r w:rsidR="00074022">
        <w:rPr>
          <w:rFonts w:ascii="Times New Roman" w:hAnsi="Times New Roman" w:cs="Times New Roman"/>
          <w:bCs/>
          <w:sz w:val="23"/>
          <w:szCs w:val="23"/>
        </w:rPr>
        <w:t xml:space="preserve">ми потенциально опасными видами </w:t>
      </w:r>
      <w:r w:rsidRPr="00E37034">
        <w:rPr>
          <w:rFonts w:ascii="Times New Roman" w:hAnsi="Times New Roman" w:cs="Times New Roman"/>
          <w:bCs/>
          <w:sz w:val="23"/>
          <w:szCs w:val="23"/>
        </w:rPr>
        <w:t>деятельности, требующими повышенной концентрации внимания и быстроты психомоторных и двигательных реакций.</w:t>
      </w:r>
    </w:p>
    <w:p w:rsidR="00E37034" w:rsidRDefault="00E37034" w:rsidP="00074022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173CB6" w:rsidRPr="00BF75C8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Форма выпуска </w:t>
      </w:r>
    </w:p>
    <w:p w:rsidR="00173CB6" w:rsidRPr="00E37034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t>Таблетки, 20</w:t>
      </w:r>
      <w:r w:rsidR="00E37034" w:rsidRPr="00E37034">
        <w:rPr>
          <w:rFonts w:ascii="Times New Roman" w:hAnsi="Times New Roman" w:cs="Times New Roman"/>
          <w:b/>
          <w:i/>
          <w:sz w:val="23"/>
          <w:szCs w:val="23"/>
        </w:rPr>
        <w:t xml:space="preserve"> </w:t>
      </w:r>
      <w:r w:rsidRPr="00E37034">
        <w:rPr>
          <w:rFonts w:ascii="Times New Roman" w:hAnsi="Times New Roman" w:cs="Times New Roman"/>
          <w:b/>
          <w:i/>
          <w:sz w:val="23"/>
          <w:szCs w:val="23"/>
        </w:rPr>
        <w:t xml:space="preserve">мг. </w:t>
      </w:r>
    </w:p>
    <w:p w:rsidR="00173CB6" w:rsidRPr="00BF75C8" w:rsidRDefault="00E37034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По 30</w:t>
      </w:r>
      <w:r w:rsidR="00173CB6" w:rsidRPr="00BF75C8">
        <w:rPr>
          <w:rFonts w:ascii="Times New Roman" w:hAnsi="Times New Roman" w:cs="Times New Roman"/>
          <w:sz w:val="23"/>
          <w:szCs w:val="23"/>
        </w:rPr>
        <w:t xml:space="preserve"> таблеток в банки полимерные с барьерной горловиной из полиэтилена низкого давления в комплекте с натягиваемой крышкой с контролем первого вскрытия из полиэтилена низкого давления и полиэтилена высокого давления. Или в банки полимерные с винтовой горловиной из полиэтилена низкого давления в комплекте с навинчиваемой крышкой из полиэтилена низкого давления.</w:t>
      </w:r>
    </w:p>
    <w:p w:rsidR="00173CB6" w:rsidRDefault="00173CB6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>На банку наклеивают самоклеящуюся этикетку. Каждую банку вместе с инструкцией по применению помещают в пачку из картона.</w:t>
      </w:r>
    </w:p>
    <w:p w:rsidR="00E37034" w:rsidRPr="00E37034" w:rsidRDefault="00E37034" w:rsidP="00074022">
      <w:pPr>
        <w:spacing w:after="120" w:line="360" w:lineRule="auto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r w:rsidRPr="00E37034">
        <w:rPr>
          <w:rFonts w:ascii="Times New Roman" w:hAnsi="Times New Roman" w:cs="Times New Roman"/>
          <w:b/>
          <w:i/>
          <w:sz w:val="23"/>
          <w:szCs w:val="23"/>
        </w:rPr>
        <w:lastRenderedPageBreak/>
        <w:t xml:space="preserve">Таблетки, 50 мг. </w:t>
      </w:r>
    </w:p>
    <w:p w:rsidR="00E37034" w:rsidRPr="00BF75C8" w:rsidRDefault="00E37034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>По 30, 60, 90 таблеток в банки полимерные с барьерной горловиной из полиэтилена низкого давления в комплекте с натягиваемой крышкой с контролем первого вскрытия из полиэтилена низкого давления и полиэтилена высокого давления. Или в банки полимерные с винтовой горловиной из полиэтилена низкого давления в комплекте с навинчиваемой крышкой из полиэтилена низкого давления.</w:t>
      </w:r>
    </w:p>
    <w:p w:rsidR="00E37034" w:rsidRPr="00BF75C8" w:rsidRDefault="00E37034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>На банку наклеивают самоклеящуюся этикетку. Каждую банку вместе с инструкцией по применению помещают в пачку из картона.</w:t>
      </w:r>
    </w:p>
    <w:p w:rsidR="00E37034" w:rsidRDefault="00E37034" w:rsidP="00074022">
      <w:pPr>
        <w:spacing w:after="120" w:line="36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173CB6" w:rsidRPr="00BF75C8" w:rsidRDefault="00173CB6" w:rsidP="00074022">
      <w:pPr>
        <w:spacing w:after="120" w:line="360" w:lineRule="auto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Условия хранения </w:t>
      </w:r>
    </w:p>
    <w:p w:rsidR="00173CB6" w:rsidRPr="00BF75C8" w:rsidRDefault="00173CB6" w:rsidP="00074022">
      <w:pPr>
        <w:spacing w:after="120" w:line="360" w:lineRule="auto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При температуре не выше 25 °С. </w:t>
      </w:r>
    </w:p>
    <w:p w:rsidR="00173CB6" w:rsidRPr="00BF75C8" w:rsidRDefault="00173CB6" w:rsidP="00074022">
      <w:pPr>
        <w:spacing w:after="120" w:line="360" w:lineRule="auto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Хранить в недоступном для детей месте. </w:t>
      </w:r>
    </w:p>
    <w:p w:rsidR="00E37034" w:rsidRDefault="00E37034" w:rsidP="00074022">
      <w:pPr>
        <w:spacing w:after="120" w:line="36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173CB6" w:rsidRPr="00BF75C8" w:rsidRDefault="00173CB6" w:rsidP="00074022">
      <w:pPr>
        <w:spacing w:after="120" w:line="360" w:lineRule="auto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Срок годности </w:t>
      </w:r>
    </w:p>
    <w:p w:rsidR="00173CB6" w:rsidRPr="00BF75C8" w:rsidRDefault="00173CB6" w:rsidP="00074022">
      <w:pPr>
        <w:spacing w:after="120" w:line="360" w:lineRule="auto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3 года. Не использовать по истечении срока годности, указанного на упаковке. </w:t>
      </w:r>
    </w:p>
    <w:p w:rsidR="00173CB6" w:rsidRPr="00BF75C8" w:rsidRDefault="00173CB6" w:rsidP="00074022">
      <w:pPr>
        <w:spacing w:after="120" w:line="360" w:lineRule="auto"/>
        <w:rPr>
          <w:rFonts w:ascii="Times New Roman" w:hAnsi="Times New Roman" w:cs="Times New Roman"/>
          <w:b/>
          <w:bCs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Условия отпуска: </w:t>
      </w:r>
    </w:p>
    <w:p w:rsidR="00173CB6" w:rsidRPr="00BF75C8" w:rsidRDefault="00173CB6" w:rsidP="00074022">
      <w:pPr>
        <w:spacing w:after="120" w:line="360" w:lineRule="auto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Отпускают </w:t>
      </w:r>
      <w:r w:rsidRPr="00BF75C8">
        <w:rPr>
          <w:rFonts w:ascii="Times New Roman" w:hAnsi="Times New Roman" w:cs="Times New Roman"/>
          <w:sz w:val="23"/>
          <w:szCs w:val="23"/>
        </w:rPr>
        <w:t xml:space="preserve">по рецепту. </w:t>
      </w:r>
    </w:p>
    <w:p w:rsidR="00E37034" w:rsidRDefault="00E37034" w:rsidP="00074022">
      <w:pPr>
        <w:spacing w:after="120" w:line="360" w:lineRule="auto"/>
        <w:rPr>
          <w:rFonts w:ascii="Times New Roman" w:hAnsi="Times New Roman" w:cs="Times New Roman"/>
          <w:b/>
          <w:bCs/>
          <w:sz w:val="23"/>
          <w:szCs w:val="23"/>
        </w:rPr>
      </w:pPr>
    </w:p>
    <w:p w:rsidR="00173CB6" w:rsidRPr="00BF75C8" w:rsidRDefault="00173CB6" w:rsidP="00074022">
      <w:pPr>
        <w:spacing w:after="120" w:line="360" w:lineRule="auto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b/>
          <w:bCs/>
          <w:sz w:val="23"/>
          <w:szCs w:val="23"/>
        </w:rPr>
        <w:t xml:space="preserve">Производитель/организация, принимающая претензии потребителей </w:t>
      </w:r>
    </w:p>
    <w:p w:rsidR="00173CB6" w:rsidRPr="00BF75C8" w:rsidRDefault="00173CB6" w:rsidP="00074022">
      <w:pPr>
        <w:spacing w:after="120" w:line="360" w:lineRule="auto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>ОАО «Фармстандарт-</w:t>
      </w:r>
      <w:proofErr w:type="spellStart"/>
      <w:r w:rsidRPr="00BF75C8">
        <w:rPr>
          <w:rFonts w:ascii="Times New Roman" w:hAnsi="Times New Roman" w:cs="Times New Roman"/>
          <w:sz w:val="23"/>
          <w:szCs w:val="23"/>
        </w:rPr>
        <w:t>УфаВИТА</w:t>
      </w:r>
      <w:proofErr w:type="spellEnd"/>
      <w:r w:rsidRPr="00BF75C8">
        <w:rPr>
          <w:rFonts w:ascii="Times New Roman" w:hAnsi="Times New Roman" w:cs="Times New Roman"/>
          <w:sz w:val="23"/>
          <w:szCs w:val="23"/>
        </w:rPr>
        <w:t xml:space="preserve">», </w:t>
      </w:r>
    </w:p>
    <w:p w:rsidR="00173CB6" w:rsidRPr="00BF75C8" w:rsidRDefault="00173CB6" w:rsidP="00074022">
      <w:pPr>
        <w:spacing w:after="120" w:line="360" w:lineRule="auto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450077, Россия, Республика Башкортостан, г. Уфа, ул. </w:t>
      </w:r>
      <w:proofErr w:type="spellStart"/>
      <w:r w:rsidRPr="00BF75C8">
        <w:rPr>
          <w:rFonts w:ascii="Times New Roman" w:hAnsi="Times New Roman" w:cs="Times New Roman"/>
          <w:sz w:val="23"/>
          <w:szCs w:val="23"/>
        </w:rPr>
        <w:t>Худайбердина</w:t>
      </w:r>
      <w:proofErr w:type="spellEnd"/>
      <w:r w:rsidRPr="00BF75C8">
        <w:rPr>
          <w:rFonts w:ascii="Times New Roman" w:hAnsi="Times New Roman" w:cs="Times New Roman"/>
          <w:sz w:val="23"/>
          <w:szCs w:val="23"/>
        </w:rPr>
        <w:t xml:space="preserve">, д. 28, </w:t>
      </w:r>
    </w:p>
    <w:p w:rsidR="00173CB6" w:rsidRPr="00BF75C8" w:rsidRDefault="00173CB6" w:rsidP="00074022">
      <w:pPr>
        <w:spacing w:after="120" w:line="360" w:lineRule="auto"/>
        <w:rPr>
          <w:rFonts w:ascii="Times New Roman" w:hAnsi="Times New Roman" w:cs="Times New Roman"/>
          <w:sz w:val="23"/>
          <w:szCs w:val="23"/>
        </w:rPr>
      </w:pPr>
      <w:r w:rsidRPr="00BF75C8">
        <w:rPr>
          <w:rFonts w:ascii="Times New Roman" w:hAnsi="Times New Roman" w:cs="Times New Roman"/>
          <w:sz w:val="23"/>
          <w:szCs w:val="23"/>
        </w:rPr>
        <w:t xml:space="preserve">телефон/факс (347) 272 92 85, </w:t>
      </w:r>
    </w:p>
    <w:p w:rsidR="00173CB6" w:rsidRDefault="00693628" w:rsidP="00074022">
      <w:pPr>
        <w:spacing w:after="120" w:line="360" w:lineRule="auto"/>
        <w:rPr>
          <w:rFonts w:ascii="Times New Roman" w:hAnsi="Times New Roman" w:cs="Times New Roman"/>
          <w:sz w:val="23"/>
          <w:szCs w:val="23"/>
        </w:rPr>
      </w:pPr>
      <w:hyperlink r:id="rId11" w:history="1">
        <w:r w:rsidR="00074022" w:rsidRPr="00F05BBF">
          <w:rPr>
            <w:rStyle w:val="a4"/>
            <w:rFonts w:ascii="Times New Roman" w:hAnsi="Times New Roman" w:cs="Times New Roman"/>
            <w:sz w:val="23"/>
            <w:szCs w:val="23"/>
          </w:rPr>
          <w:t>www.pharmstd.ru</w:t>
        </w:r>
      </w:hyperlink>
    </w:p>
    <w:p w:rsidR="00074022" w:rsidRDefault="00074022" w:rsidP="00074022">
      <w:pPr>
        <w:spacing w:after="120" w:line="360" w:lineRule="auto"/>
        <w:rPr>
          <w:rFonts w:ascii="Times New Roman" w:hAnsi="Times New Roman" w:cs="Times New Roman"/>
          <w:sz w:val="23"/>
          <w:szCs w:val="23"/>
        </w:rPr>
      </w:pPr>
    </w:p>
    <w:p w:rsidR="00074022" w:rsidRDefault="00074022" w:rsidP="00074022">
      <w:pPr>
        <w:spacing w:after="120" w:line="360" w:lineRule="auto"/>
        <w:rPr>
          <w:rFonts w:ascii="Times New Roman" w:hAnsi="Times New Roman" w:cs="Times New Roman"/>
          <w:sz w:val="23"/>
          <w:szCs w:val="23"/>
        </w:rPr>
      </w:pPr>
    </w:p>
    <w:p w:rsidR="00074022" w:rsidRDefault="00074022" w:rsidP="00074022">
      <w:pPr>
        <w:spacing w:after="120" w:line="360" w:lineRule="auto"/>
        <w:rPr>
          <w:rFonts w:ascii="Times New Roman" w:hAnsi="Times New Roman" w:cs="Times New Roman"/>
          <w:sz w:val="23"/>
          <w:szCs w:val="23"/>
        </w:rPr>
      </w:pPr>
    </w:p>
    <w:p w:rsidR="00074022" w:rsidRDefault="00074022" w:rsidP="00074022">
      <w:pPr>
        <w:spacing w:after="120" w:line="360" w:lineRule="auto"/>
        <w:rPr>
          <w:rFonts w:ascii="Times New Roman" w:hAnsi="Times New Roman" w:cs="Times New Roman"/>
          <w:sz w:val="23"/>
          <w:szCs w:val="23"/>
        </w:rPr>
      </w:pPr>
    </w:p>
    <w:p w:rsidR="00074022" w:rsidRDefault="00074022" w:rsidP="00074022">
      <w:pPr>
        <w:spacing w:after="120" w:line="360" w:lineRule="auto"/>
        <w:rPr>
          <w:rFonts w:ascii="Times New Roman" w:hAnsi="Times New Roman" w:cs="Times New Roman"/>
          <w:sz w:val="23"/>
          <w:szCs w:val="23"/>
        </w:rPr>
      </w:pPr>
    </w:p>
    <w:p w:rsidR="00074022" w:rsidRDefault="00074022" w:rsidP="00074022">
      <w:pPr>
        <w:spacing w:after="120" w:line="360" w:lineRule="auto"/>
        <w:rPr>
          <w:rFonts w:ascii="Times New Roman" w:hAnsi="Times New Roman" w:cs="Times New Roman"/>
          <w:sz w:val="23"/>
          <w:szCs w:val="23"/>
        </w:rPr>
      </w:pPr>
    </w:p>
    <w:p w:rsidR="00D82BFA" w:rsidRPr="00D82BFA" w:rsidRDefault="00D82BFA" w:rsidP="00074022">
      <w:pPr>
        <w:spacing w:line="240" w:lineRule="auto"/>
        <w:jc w:val="center"/>
        <w:rPr>
          <w:rFonts w:ascii="Times New Roman" w:hAnsi="Times New Roman" w:cs="Times New Roman"/>
          <w:sz w:val="23"/>
          <w:szCs w:val="23"/>
        </w:rPr>
      </w:pPr>
      <w:bookmarkStart w:id="0" w:name="_GoBack"/>
      <w:bookmarkEnd w:id="0"/>
      <w:r w:rsidRPr="00D82BFA">
        <w:rPr>
          <w:rFonts w:ascii="Times New Roman" w:hAnsi="Times New Roman" w:cs="Times New Roman"/>
          <w:sz w:val="23"/>
          <w:szCs w:val="23"/>
        </w:rPr>
        <w:lastRenderedPageBreak/>
        <w:t>ИНСТРУКЦИЯ</w:t>
      </w:r>
    </w:p>
    <w:p w:rsidR="00D82BFA" w:rsidRPr="00D82BFA" w:rsidRDefault="00D82BFA" w:rsidP="00074022">
      <w:pPr>
        <w:spacing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>ПО МЕДИЦИНСКОМУ ПРИМЕНЕНИЮ ЛЕКАРСТВЕННОГО ПРЕПАРАТА</w:t>
      </w:r>
    </w:p>
    <w:p w:rsidR="00D82BFA" w:rsidRPr="00D82BFA" w:rsidRDefault="00D82BFA" w:rsidP="00074022">
      <w:pPr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>ПИКАМИЛОН®</w:t>
      </w:r>
    </w:p>
    <w:p w:rsid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Регистрационный номер: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>Торговое наименование:</w:t>
      </w:r>
      <w:r w:rsidRPr="00D82BFA">
        <w:rPr>
          <w:rFonts w:ascii="Times New Roman" w:hAnsi="Times New Roman" w:cs="Times New Roman"/>
          <w:sz w:val="23"/>
          <w:szCs w:val="23"/>
        </w:rPr>
        <w:t xml:space="preserve"> ПИКАМИЛОН®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Международное непатентованное или </w:t>
      </w:r>
      <w:proofErr w:type="spellStart"/>
      <w:r w:rsidRPr="00D82BFA">
        <w:rPr>
          <w:rFonts w:ascii="Times New Roman" w:hAnsi="Times New Roman" w:cs="Times New Roman"/>
          <w:b/>
          <w:sz w:val="23"/>
          <w:szCs w:val="23"/>
        </w:rPr>
        <w:t>группировочное</w:t>
      </w:r>
      <w:proofErr w:type="spellEnd"/>
      <w:r w:rsidRPr="00D82BFA">
        <w:rPr>
          <w:rFonts w:ascii="Times New Roman" w:hAnsi="Times New Roman" w:cs="Times New Roman"/>
          <w:b/>
          <w:sz w:val="23"/>
          <w:szCs w:val="23"/>
        </w:rPr>
        <w:t xml:space="preserve"> наименование:</w:t>
      </w:r>
      <w:r w:rsidRPr="00D82BFA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никотиноил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гамма-аминомасляная кислота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>Химическое наименование:</w:t>
      </w:r>
      <w:r w:rsidRPr="00D82BFA">
        <w:rPr>
          <w:rFonts w:ascii="Times New Roman" w:hAnsi="Times New Roman" w:cs="Times New Roman"/>
          <w:sz w:val="23"/>
          <w:szCs w:val="23"/>
        </w:rPr>
        <w:t xml:space="preserve"> натриевая соль N-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никотиноил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>-γ-аминомасляной кислоты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>Лекарственная форма:</w:t>
      </w:r>
      <w:r w:rsidRPr="00D82BFA">
        <w:rPr>
          <w:rFonts w:ascii="Times New Roman" w:hAnsi="Times New Roman" w:cs="Times New Roman"/>
          <w:sz w:val="23"/>
          <w:szCs w:val="23"/>
        </w:rPr>
        <w:t xml:space="preserve"> раствор для приема внутрь </w:t>
      </w:r>
    </w:p>
    <w:p w:rsid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Состав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На 1 мл: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i/>
          <w:sz w:val="23"/>
          <w:szCs w:val="23"/>
        </w:rPr>
        <w:t>Действующее вещество:</w:t>
      </w:r>
      <w:r w:rsidRPr="00D82BFA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никотиноил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>-гамма-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аминобутират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 натрия – 4,0 мг.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i/>
          <w:sz w:val="23"/>
          <w:szCs w:val="23"/>
        </w:rPr>
        <w:t>Вспомогательные вещества:</w:t>
      </w:r>
      <w:r w:rsidRPr="00D82BFA">
        <w:rPr>
          <w:rFonts w:ascii="Times New Roman" w:hAnsi="Times New Roman" w:cs="Times New Roman"/>
          <w:sz w:val="23"/>
          <w:szCs w:val="23"/>
        </w:rPr>
        <w:t xml:space="preserve"> натрия цитрат – 10,59 мг, 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метилпарагидроксибензоат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 –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1,80 мг, 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ароматизатор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 клубничный – 1,00 мг, 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сукралоза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 – 0,47 мг,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пропилпарагидроксибензоат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 – 0,20 мг, лимонной кислоты моногидрат – 0,05 мг, вода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очищенная – до 1,0 мл. </w:t>
      </w:r>
    </w:p>
    <w:p w:rsid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>Описание:</w:t>
      </w:r>
      <w:r w:rsidRPr="00D82BFA">
        <w:rPr>
          <w:rFonts w:ascii="Times New Roman" w:hAnsi="Times New Roman" w:cs="Times New Roman"/>
          <w:sz w:val="23"/>
          <w:szCs w:val="23"/>
        </w:rPr>
        <w:t xml:space="preserve"> бесцветная прозрачная жидкость с фруктовым запахом.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Фармакотерапевтическая группа: 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ноотропное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 средство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>Код АТХ:</w:t>
      </w:r>
      <w:r w:rsidRPr="00D82BFA">
        <w:rPr>
          <w:rFonts w:ascii="Times New Roman" w:hAnsi="Times New Roman" w:cs="Times New Roman"/>
          <w:sz w:val="23"/>
          <w:szCs w:val="23"/>
        </w:rPr>
        <w:t xml:space="preserve"> N06BX </w:t>
      </w:r>
    </w:p>
    <w:p w:rsid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Фармакологические свойства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proofErr w:type="spellStart"/>
      <w:r w:rsidRPr="00D82BFA">
        <w:rPr>
          <w:rFonts w:ascii="Times New Roman" w:hAnsi="Times New Roman" w:cs="Times New Roman"/>
          <w:b/>
          <w:sz w:val="23"/>
          <w:szCs w:val="23"/>
        </w:rPr>
        <w:t>Фармакодинамика</w:t>
      </w:r>
      <w:proofErr w:type="spellEnd"/>
      <w:r w:rsidRPr="00D82BFA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Ноотропное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 средство, расширяет сосуды головного мозга. Оказывает также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транквилизирующее, психостимулирующее, 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антиагрегантное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 и антиоксидантное действие.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Улучшает функциональное состояние мозга за счет нормализации метаболизма тканей и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влияния на мозговое кровообращение (увеличивает объемную и линейную скорость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>мозгового кровотока, уменьшает сопротивлени</w:t>
      </w:r>
      <w:r w:rsidR="00074022">
        <w:rPr>
          <w:rFonts w:ascii="Times New Roman" w:hAnsi="Times New Roman" w:cs="Times New Roman"/>
          <w:sz w:val="23"/>
          <w:szCs w:val="23"/>
        </w:rPr>
        <w:t xml:space="preserve">е сосудов, ингибируя агрегацию </w:t>
      </w:r>
      <w:r w:rsidRPr="00D82BFA">
        <w:rPr>
          <w:rFonts w:ascii="Times New Roman" w:hAnsi="Times New Roman" w:cs="Times New Roman"/>
          <w:sz w:val="23"/>
          <w:szCs w:val="23"/>
        </w:rPr>
        <w:t xml:space="preserve">тромбоцитов, улучшает микроциркуляцию). </w:t>
      </w:r>
    </w:p>
    <w:p w:rsidR="00D82BFA" w:rsidRPr="00D82BFA" w:rsidRDefault="00D82BFA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При курсовом приеме повышает физическую и умственную работоспособность, уменьшает </w:t>
      </w:r>
    </w:p>
    <w:p w:rsidR="00D82BFA" w:rsidRPr="00D82BFA" w:rsidRDefault="00D82BFA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>головную боль, улучшает память, нормализует сон; способствует снижен</w:t>
      </w:r>
      <w:r w:rsidR="00074022">
        <w:rPr>
          <w:rFonts w:ascii="Times New Roman" w:hAnsi="Times New Roman" w:cs="Times New Roman"/>
          <w:sz w:val="23"/>
          <w:szCs w:val="23"/>
        </w:rPr>
        <w:t xml:space="preserve">ию или </w:t>
      </w:r>
      <w:r w:rsidRPr="00D82BFA">
        <w:rPr>
          <w:rFonts w:ascii="Times New Roman" w:hAnsi="Times New Roman" w:cs="Times New Roman"/>
          <w:sz w:val="23"/>
          <w:szCs w:val="23"/>
        </w:rPr>
        <w:t xml:space="preserve">исчезновению чувства тревоги, напряжения, страха; улучшает состояние больных с </w:t>
      </w:r>
    </w:p>
    <w:p w:rsidR="00D82BFA" w:rsidRPr="00D82BFA" w:rsidRDefault="00D82BFA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lastRenderedPageBreak/>
        <w:t xml:space="preserve">двигательными и речевыми нарушениями, уменьшает угнетающее влияние этанола на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центральную нервную систему. Улучшает кровообращение в сосудах сетчатки и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зрительного нерва.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proofErr w:type="spellStart"/>
      <w:r w:rsidRPr="00D82BFA">
        <w:rPr>
          <w:rFonts w:ascii="Times New Roman" w:hAnsi="Times New Roman" w:cs="Times New Roman"/>
          <w:b/>
          <w:sz w:val="23"/>
          <w:szCs w:val="23"/>
        </w:rPr>
        <w:t>Фармакокинетика</w:t>
      </w:r>
      <w:proofErr w:type="spellEnd"/>
      <w:r w:rsidRPr="00D82BFA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Абсорбция – быстрая и полная. Проникает через гематоэнцефалический барьер, длительно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удерживаясь в тканях организма. 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Биодоступность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 – 50-88 %. Выводится, в основном,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почками в неизменном виде. Период полувыведения – 0,51 ч. </w:t>
      </w:r>
    </w:p>
    <w:p w:rsid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Показания к применению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 xml:space="preserve">У взрослых: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В комплексной терапии ишемических нарушений мозгового кровообращения легкой и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средней тяжести, хроническая цереброваскулярная недостаточность, состояние после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черепно-мозговых травм.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В составе комплексной терапии первичной 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открытоугольной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 глаукомы, при заболеваниях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сетчатки и зрительного нерва сосудистого генеза.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В комплексной терапии синдрома вегетативной дистонии, сопровождающейся тревогой,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страхом, повышенной раздражительностью, эмоциональной лабильностью.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В составе комплексной терапии для профилактики мигрени.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В комплексной терапии хронического алкоголизма (для уменьшения астенических,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астеноневротических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постпсихотических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предрецидивных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 состояний, а также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алкогольной энцефалопатии).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 xml:space="preserve">У взрослых и детей: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В урологической практике (у детей старше 3-х лет и у взрослых с расстройствами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мочеиспускания для улучшения адаптационной функции мочевого пузыря (снижение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гипоксии 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детрузора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Улучшение переносимости физических и умственных нагрузок (лицам, находящимся в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напряженных и экстремальных условиях деятельности; для восстановления физической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работоспособности спортсменов, для повышения устойчивости к физическим и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умственным нагрузкам). </w:t>
      </w:r>
    </w:p>
    <w:p w:rsid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Противопоказания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- Гиперчувствительность к 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никотиноил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>-гамма-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аминобутирату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 натрия и/или любому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вспомогательному компоненту препарата;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>- хрониче</w:t>
      </w:r>
      <w:r>
        <w:rPr>
          <w:rFonts w:ascii="Times New Roman" w:hAnsi="Times New Roman" w:cs="Times New Roman"/>
          <w:sz w:val="23"/>
          <w:szCs w:val="23"/>
        </w:rPr>
        <w:t xml:space="preserve">ская почечная недостаточность;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lastRenderedPageBreak/>
        <w:t xml:space="preserve">- детский возраст до 3 лет (у детей старше 3 лет применяется только при расстройствах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мочеиспускания). </w:t>
      </w:r>
    </w:p>
    <w:p w:rsid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Применение при беременности и в период грудного вскармливания </w:t>
      </w:r>
    </w:p>
    <w:p w:rsidR="00D82BFA" w:rsidRPr="00D82BFA" w:rsidRDefault="00D82BFA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>Не рекомендуется применение препарата при бе</w:t>
      </w:r>
      <w:r w:rsidR="00074022">
        <w:rPr>
          <w:rFonts w:ascii="Times New Roman" w:hAnsi="Times New Roman" w:cs="Times New Roman"/>
          <w:sz w:val="23"/>
          <w:szCs w:val="23"/>
        </w:rPr>
        <w:t xml:space="preserve">ременности и в период грудного </w:t>
      </w:r>
      <w:r w:rsidRPr="00D82BFA">
        <w:rPr>
          <w:rFonts w:ascii="Times New Roman" w:hAnsi="Times New Roman" w:cs="Times New Roman"/>
          <w:sz w:val="23"/>
          <w:szCs w:val="23"/>
        </w:rPr>
        <w:t xml:space="preserve">вскармливания в связи с отсутствием опыта клинического применения у данной категории </w:t>
      </w:r>
    </w:p>
    <w:p w:rsidR="00D82BFA" w:rsidRPr="00D82BFA" w:rsidRDefault="00D82BFA" w:rsidP="00074022">
      <w:pPr>
        <w:spacing w:after="120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пациентов. </w:t>
      </w:r>
    </w:p>
    <w:p w:rsid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Способ применения и дозы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Внутрь, независимо от приема пищи.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Перед употреблением тщательно взболтайте флакон.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Для удобства дозирования к упаковке с препаратом прилагается мерная ложка с отметкой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2,5 мл и 5 мл.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>5 мл раствора содержит 20 мг действующего вещества.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 xml:space="preserve">При расстройствах мочеиспускания детям в возрасте от 3 до 10 лет </w:t>
      </w:r>
      <w:r w:rsidRPr="00D82BFA">
        <w:rPr>
          <w:rFonts w:ascii="Times New Roman" w:hAnsi="Times New Roman" w:cs="Times New Roman"/>
          <w:sz w:val="23"/>
          <w:szCs w:val="23"/>
        </w:rPr>
        <w:t xml:space="preserve">применять по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5 мл (20 мг) 2 раза в сутки. Максимальная разовая доза – 5 мл (20 мг), максимальная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суточная доза – 10 мл (40 мг). Курс лечения 1 месяц.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 xml:space="preserve">При расстройствах мочеиспускания детям в возрасте от 11 лет до 15 лет </w:t>
      </w:r>
      <w:r w:rsidRPr="00D82BFA">
        <w:rPr>
          <w:rFonts w:ascii="Times New Roman" w:hAnsi="Times New Roman" w:cs="Times New Roman"/>
          <w:sz w:val="23"/>
          <w:szCs w:val="23"/>
        </w:rPr>
        <w:t xml:space="preserve">применять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по 12,5 мл (50 мг) 2 раза в сутки. Максимальная разовая доза – 12,5 мл (50 мг), максимальная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суточная доза – 25 мл (100 мг). Курс лечения 1 месяц.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 xml:space="preserve">При расстройствах мочеиспускания для пациентов старше 15 лет </w:t>
      </w:r>
      <w:r w:rsidRPr="00D82BFA">
        <w:rPr>
          <w:rFonts w:ascii="Times New Roman" w:hAnsi="Times New Roman" w:cs="Times New Roman"/>
          <w:sz w:val="23"/>
          <w:szCs w:val="23"/>
        </w:rPr>
        <w:t xml:space="preserve">применять по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12,5 мл (50 мг) 3 раза в сутки. Максимальная разовая доза – 12,5 мл (50 мг), максимальная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суточная доза – 37,5 мл (150 мг). Курс лечения 1 месяц.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>При цереброваскулярных заболеваниях</w:t>
      </w:r>
      <w:r w:rsidRPr="00D82BFA">
        <w:rPr>
          <w:rFonts w:ascii="Times New Roman" w:hAnsi="Times New Roman" w:cs="Times New Roman"/>
          <w:sz w:val="23"/>
          <w:szCs w:val="23"/>
        </w:rPr>
        <w:t xml:space="preserve"> разовая доза – 5-12,5 мл (20-50 мг) 2-3 раза в сутки.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Максимальная разовая доза – 12,5 мл (50 мг), максимальная суточная доза –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37,5 мл (150 мг). Курс лечения – 1-2 месяца. Повторный курс через 5-6 мес.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 xml:space="preserve">При первичной </w:t>
      </w:r>
      <w:proofErr w:type="spellStart"/>
      <w:r w:rsidRPr="00D82BFA">
        <w:rPr>
          <w:rFonts w:ascii="Times New Roman" w:hAnsi="Times New Roman" w:cs="Times New Roman"/>
          <w:b/>
          <w:i/>
          <w:sz w:val="23"/>
          <w:szCs w:val="23"/>
        </w:rPr>
        <w:t>открытоугольной</w:t>
      </w:r>
      <w:proofErr w:type="spellEnd"/>
      <w:r w:rsidRPr="00D82BFA">
        <w:rPr>
          <w:rFonts w:ascii="Times New Roman" w:hAnsi="Times New Roman" w:cs="Times New Roman"/>
          <w:b/>
          <w:i/>
          <w:sz w:val="23"/>
          <w:szCs w:val="23"/>
        </w:rPr>
        <w:t xml:space="preserve"> глаукоме</w:t>
      </w:r>
      <w:r w:rsidRPr="00D82BFA">
        <w:rPr>
          <w:rFonts w:ascii="Times New Roman" w:hAnsi="Times New Roman" w:cs="Times New Roman"/>
          <w:sz w:val="23"/>
          <w:szCs w:val="23"/>
        </w:rPr>
        <w:t xml:space="preserve"> – по 12,5 мл (50 мг) 3 раза в сутки.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Максимальная разовая доза – 12,5 мл (50 мг), максимальная суточная доза – 37,5 мл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>(</w:t>
      </w:r>
      <w:r>
        <w:rPr>
          <w:rFonts w:ascii="Times New Roman" w:hAnsi="Times New Roman" w:cs="Times New Roman"/>
          <w:sz w:val="23"/>
          <w:szCs w:val="23"/>
        </w:rPr>
        <w:t xml:space="preserve">150 мг). Курс лечения 1 месяц.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>При заболеваниях сетчатки и зрительного нерва</w:t>
      </w:r>
      <w:r w:rsidRPr="00D82BFA">
        <w:rPr>
          <w:rFonts w:ascii="Times New Roman" w:hAnsi="Times New Roman" w:cs="Times New Roman"/>
          <w:sz w:val="23"/>
          <w:szCs w:val="23"/>
        </w:rPr>
        <w:t xml:space="preserve"> первые 12 дней используют раствор для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внутримышечного введения, затем, в зависимости от состояния, назначают внутрь по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5-12,5 мл (20-50 мг) 3 раза в сутки. Максимальная разовая доза – 12,5 мл (50 мг),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максимальная суточная доза – 37,5 мл (150 мг). Курс лечения 1 месяц. </w:t>
      </w:r>
    </w:p>
    <w:p w:rsid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lastRenderedPageBreak/>
        <w:t>Для профилактики приступов мигрени</w:t>
      </w:r>
      <w:r w:rsidRPr="00D82BFA">
        <w:rPr>
          <w:rFonts w:ascii="Times New Roman" w:hAnsi="Times New Roman" w:cs="Times New Roman"/>
          <w:sz w:val="23"/>
          <w:szCs w:val="23"/>
        </w:rPr>
        <w:t xml:space="preserve"> внутрь по 12,5 мл (50 мг) 3 раза в сутки.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Максимальная разовая доза 12,5 мл (50 мг), максимальная суточная доза 37,5 мл (150 мг).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>При депрессивных состояниях позднего возраста</w:t>
      </w:r>
      <w:r w:rsidRPr="00D82BFA">
        <w:rPr>
          <w:rFonts w:ascii="Times New Roman" w:hAnsi="Times New Roman" w:cs="Times New Roman"/>
          <w:sz w:val="23"/>
          <w:szCs w:val="23"/>
        </w:rPr>
        <w:t xml:space="preserve"> – 10-50 мл (40-200 мг) в сутки за 2-3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приема, оптимальная дозировка – 15-30 мл (60-120 мг) в сутки. Курс лечения 1,5-3 месяцев.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 xml:space="preserve">В качестве астенического и </w:t>
      </w:r>
      <w:proofErr w:type="spellStart"/>
      <w:r w:rsidRPr="00D82BFA">
        <w:rPr>
          <w:rFonts w:ascii="Times New Roman" w:hAnsi="Times New Roman" w:cs="Times New Roman"/>
          <w:b/>
          <w:i/>
          <w:sz w:val="23"/>
          <w:szCs w:val="23"/>
        </w:rPr>
        <w:t>анксиолитического</w:t>
      </w:r>
      <w:proofErr w:type="spellEnd"/>
      <w:r w:rsidRPr="00D82BFA">
        <w:rPr>
          <w:rFonts w:ascii="Times New Roman" w:hAnsi="Times New Roman" w:cs="Times New Roman"/>
          <w:b/>
          <w:i/>
          <w:sz w:val="23"/>
          <w:szCs w:val="23"/>
        </w:rPr>
        <w:t xml:space="preserve"> средства</w:t>
      </w:r>
      <w:r w:rsidRPr="00D82BFA">
        <w:rPr>
          <w:rFonts w:ascii="Times New Roman" w:hAnsi="Times New Roman" w:cs="Times New Roman"/>
          <w:sz w:val="23"/>
          <w:szCs w:val="23"/>
        </w:rPr>
        <w:t xml:space="preserve"> по 10-20 мл (40-80 мг) в сутки,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при необходимости до 50-75 мл (200-300 мг) в сутки. Курс лечения 1-1,5 месяцев.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>Для восстановления работоспособности и при повышенных нагрузках</w:t>
      </w:r>
      <w:r w:rsidRPr="00D82BFA">
        <w:rPr>
          <w:rFonts w:ascii="Times New Roman" w:hAnsi="Times New Roman" w:cs="Times New Roman"/>
          <w:sz w:val="23"/>
          <w:szCs w:val="23"/>
        </w:rPr>
        <w:t xml:space="preserve"> по 15-20 мл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(60-80 мг) в сутки в течение 1-1,5 месяцев, для спортсменов в той же дозе в течение 2 недель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тренировочного периода.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>При алкоголизме в период абстиненции</w:t>
      </w:r>
      <w:r w:rsidRPr="00D82BFA">
        <w:rPr>
          <w:rFonts w:ascii="Times New Roman" w:hAnsi="Times New Roman" w:cs="Times New Roman"/>
          <w:sz w:val="23"/>
          <w:szCs w:val="23"/>
        </w:rPr>
        <w:t xml:space="preserve"> – 25-37,5 мл (100-150 мг) в сутки, коротким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курсом 6-7 дней; при более стойких нарушениях вне абстиненции суточная доза 10-15 мл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(40-60 мг) в течение 4-5 недель. </w:t>
      </w:r>
    </w:p>
    <w:p w:rsid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Побочное действие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Для определения частоты возникновения побочных эффектов препарата применяют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следующую классификацию: очень часто (≥ 1/10); часто (≥ 1/100 и </w:t>
      </w:r>
      <w:proofErr w:type="gramStart"/>
      <w:r w:rsidRPr="00D82BFA">
        <w:rPr>
          <w:rFonts w:ascii="Times New Roman" w:hAnsi="Times New Roman" w:cs="Times New Roman"/>
          <w:sz w:val="23"/>
          <w:szCs w:val="23"/>
        </w:rPr>
        <w:t>&lt; 1</w:t>
      </w:r>
      <w:proofErr w:type="gramEnd"/>
      <w:r w:rsidRPr="00D82BFA">
        <w:rPr>
          <w:rFonts w:ascii="Times New Roman" w:hAnsi="Times New Roman" w:cs="Times New Roman"/>
          <w:sz w:val="23"/>
          <w:szCs w:val="23"/>
        </w:rPr>
        <w:t xml:space="preserve">/10); нечасто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(≥ 1/1000 и </w:t>
      </w:r>
      <w:proofErr w:type="gramStart"/>
      <w:r w:rsidRPr="00D82BFA">
        <w:rPr>
          <w:rFonts w:ascii="Times New Roman" w:hAnsi="Times New Roman" w:cs="Times New Roman"/>
          <w:sz w:val="23"/>
          <w:szCs w:val="23"/>
        </w:rPr>
        <w:t>&lt; 1</w:t>
      </w:r>
      <w:proofErr w:type="gramEnd"/>
      <w:r w:rsidRPr="00D82BFA">
        <w:rPr>
          <w:rFonts w:ascii="Times New Roman" w:hAnsi="Times New Roman" w:cs="Times New Roman"/>
          <w:sz w:val="23"/>
          <w:szCs w:val="23"/>
        </w:rPr>
        <w:t xml:space="preserve">/100); редко (≥ 1/10000 и &lt; 1/1000); очень редко (&lt; 1/10000); частота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неизвестна (не может быть установлена на основании имеющихся данных).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 xml:space="preserve">Со стороны иммунной системы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частота неизвестна: аллергические реакции (кожная сыпь, зуд).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 xml:space="preserve">Со стороны нервной системы: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частота неизвестна: головокружение, головная боль, раздражительность, тревога,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возбуждение.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 xml:space="preserve">Со стороны желудочно-кишечного тракта: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частота неизвестна: легкая тошнота.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При появлении вышеперечисленных признаков немедленно обратитесь к врачу.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Передозировка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 xml:space="preserve">Симптомы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Усиление выраженности 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дозозависимых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 побочных эффектов.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r w:rsidRPr="00D82BFA">
        <w:rPr>
          <w:rFonts w:ascii="Times New Roman" w:hAnsi="Times New Roman" w:cs="Times New Roman"/>
          <w:b/>
          <w:i/>
          <w:sz w:val="23"/>
          <w:szCs w:val="23"/>
        </w:rPr>
        <w:t xml:space="preserve">Лечение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Симптоматическое.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Взаимодействие с другими лекарственными средствами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Сокращает время действия барбитуратов, усиливает действие опиоидных анальгетиков.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lastRenderedPageBreak/>
        <w:t xml:space="preserve">Особые указания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Перед началом приема препарата необходимо проконсультироваться с врачом. </w:t>
      </w:r>
    </w:p>
    <w:p w:rsid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Влияние на способность управлять транспортными средствами, механизмами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В связи с возможностью возникновения головокружения и других побочных эффектов,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связанных с приемом препарата, в период лечения пациентам рекомендуется воздержаться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от управления автотранспортом и занятий другими потенциально опасными видами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деятельности, требующими повышенной концентрации внимания и быстроты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психомоторных и двигательных реакций. </w:t>
      </w:r>
    </w:p>
    <w:p w:rsid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Форма выпуска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Раствор для приема внутрь, 4 мг/мл.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По 100 мл или 200 мл во флакон из темного стекла, укупоренный полимерной крышкой из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полиэтилена низкого давления с контролем первого вскрытия и защитой от вскрытия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детьми.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>По 200 мл во флакон полимерный из полиэтилена</w:t>
      </w:r>
      <w:r w:rsidR="00074022">
        <w:rPr>
          <w:rFonts w:ascii="Times New Roman" w:hAnsi="Times New Roman" w:cs="Times New Roman"/>
          <w:sz w:val="23"/>
          <w:szCs w:val="23"/>
        </w:rPr>
        <w:t xml:space="preserve"> низкого давления, укупоренный </w:t>
      </w:r>
      <w:r w:rsidRPr="00D82BFA">
        <w:rPr>
          <w:rFonts w:ascii="Times New Roman" w:hAnsi="Times New Roman" w:cs="Times New Roman"/>
          <w:sz w:val="23"/>
          <w:szCs w:val="23"/>
        </w:rPr>
        <w:t>полимерной крышкой из полиэтилена низкого давления с контролем первого вскрытия.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>На флакон наклеивают этикетку самоклеящуюся.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>1 флакон с мерной ложкой и инструкцией по применению помещают в пачку из картона.</w:t>
      </w:r>
    </w:p>
    <w:p w:rsid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Условия хранения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При температуре не выше 25 °С в оригинальной упаковке (флакон в пачке).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Хранить в недоступном для детей месте.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Срок годности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3 года.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Не применять по истечении срока годности. </w:t>
      </w:r>
    </w:p>
    <w:p w:rsid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Условия отпуска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Отпускают по рецепту. </w:t>
      </w:r>
    </w:p>
    <w:p w:rsid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Владелец регистрационного удостоверения/ организация, принимающая претензии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потребителей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>Открытое акционерное общество "Фармстандарт-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Лексредства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"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lastRenderedPageBreak/>
        <w:t>(ОАО "Фармстандарт-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Лексредства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"), Россия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305022, Курская обл., г. Курск, ул. 2-я Агрегатная, д. 1а/18,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тел./факс: (4712) 34-03-13,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www.pharmstd.ru </w:t>
      </w:r>
    </w:p>
    <w:p w:rsid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D82BFA">
        <w:rPr>
          <w:rFonts w:ascii="Times New Roman" w:hAnsi="Times New Roman" w:cs="Times New Roman"/>
          <w:b/>
          <w:sz w:val="23"/>
          <w:szCs w:val="23"/>
        </w:rPr>
        <w:t xml:space="preserve">Производитель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>Открытое акционерное общество "Фармстандарт-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Лексредства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"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>(ОАО "Фармстандарт-</w:t>
      </w:r>
      <w:proofErr w:type="spellStart"/>
      <w:r w:rsidRPr="00D82BFA">
        <w:rPr>
          <w:rFonts w:ascii="Times New Roman" w:hAnsi="Times New Roman" w:cs="Times New Roman"/>
          <w:sz w:val="23"/>
          <w:szCs w:val="23"/>
        </w:rPr>
        <w:t>Лексредства</w:t>
      </w:r>
      <w:proofErr w:type="spellEnd"/>
      <w:r w:rsidRPr="00D82BFA">
        <w:rPr>
          <w:rFonts w:ascii="Times New Roman" w:hAnsi="Times New Roman" w:cs="Times New Roman"/>
          <w:sz w:val="23"/>
          <w:szCs w:val="23"/>
        </w:rPr>
        <w:t xml:space="preserve">"), Россия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Курская обл., г. Курск, ул. 2-я Агрегатная, д. 1а/18, </w:t>
      </w:r>
    </w:p>
    <w:p w:rsidR="00D82BFA" w:rsidRPr="00D82BFA" w:rsidRDefault="00D82BFA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82BFA">
        <w:rPr>
          <w:rFonts w:ascii="Times New Roman" w:hAnsi="Times New Roman" w:cs="Times New Roman"/>
          <w:sz w:val="23"/>
          <w:szCs w:val="23"/>
        </w:rPr>
        <w:t xml:space="preserve">тел./факс: (4712) 34-03-13, </w:t>
      </w:r>
    </w:p>
    <w:p w:rsidR="00D82BFA" w:rsidRPr="00125264" w:rsidRDefault="00693628" w:rsidP="00074022">
      <w:pPr>
        <w:spacing w:line="240" w:lineRule="auto"/>
        <w:jc w:val="both"/>
        <w:rPr>
          <w:rFonts w:ascii="Times New Roman" w:hAnsi="Times New Roman" w:cs="Times New Roman"/>
          <w:sz w:val="23"/>
          <w:szCs w:val="23"/>
        </w:rPr>
      </w:pPr>
      <w:hyperlink r:id="rId12" w:history="1">
        <w:r w:rsidR="00925284" w:rsidRPr="00F05BBF">
          <w:rPr>
            <w:rStyle w:val="a4"/>
            <w:rFonts w:ascii="Times New Roman" w:hAnsi="Times New Roman" w:cs="Times New Roman"/>
            <w:sz w:val="23"/>
            <w:szCs w:val="23"/>
          </w:rPr>
          <w:t>www.pharmstd.ru</w:t>
        </w:r>
      </w:hyperlink>
      <w:r w:rsidR="00925284">
        <w:rPr>
          <w:rFonts w:ascii="Times New Roman" w:hAnsi="Times New Roman" w:cs="Times New Roman"/>
          <w:sz w:val="23"/>
          <w:szCs w:val="23"/>
        </w:rPr>
        <w:t xml:space="preserve"> </w:t>
      </w:r>
    </w:p>
    <w:sectPr w:rsidR="00D82BFA" w:rsidRPr="00125264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628" w:rsidRDefault="00693628" w:rsidP="00E15143">
      <w:pPr>
        <w:spacing w:after="0" w:line="240" w:lineRule="auto"/>
      </w:pPr>
      <w:r>
        <w:separator/>
      </w:r>
    </w:p>
  </w:endnote>
  <w:endnote w:type="continuationSeparator" w:id="0">
    <w:p w:rsidR="00693628" w:rsidRDefault="00693628" w:rsidP="00E15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9076022"/>
      <w:docPartObj>
        <w:docPartGallery w:val="Page Numbers (Bottom of Page)"/>
        <w:docPartUnique/>
      </w:docPartObj>
    </w:sdtPr>
    <w:sdtContent>
      <w:p w:rsidR="00E15143" w:rsidRDefault="00E1514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fldChar w:fldCharType="end"/>
        </w:r>
      </w:p>
    </w:sdtContent>
  </w:sdt>
  <w:p w:rsidR="00E15143" w:rsidRDefault="00E1514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628" w:rsidRDefault="00693628" w:rsidP="00E15143">
      <w:pPr>
        <w:spacing w:after="0" w:line="240" w:lineRule="auto"/>
      </w:pPr>
      <w:r>
        <w:separator/>
      </w:r>
    </w:p>
  </w:footnote>
  <w:footnote w:type="continuationSeparator" w:id="0">
    <w:p w:rsidR="00693628" w:rsidRDefault="00693628" w:rsidP="00E151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0F5C9E"/>
    <w:multiLevelType w:val="hybridMultilevel"/>
    <w:tmpl w:val="A080D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264"/>
    <w:rsid w:val="00074022"/>
    <w:rsid w:val="000C55D7"/>
    <w:rsid w:val="000D4EDE"/>
    <w:rsid w:val="00125264"/>
    <w:rsid w:val="00173CB6"/>
    <w:rsid w:val="00693628"/>
    <w:rsid w:val="008E6E28"/>
    <w:rsid w:val="00925284"/>
    <w:rsid w:val="009D2C2D"/>
    <w:rsid w:val="00D82BFA"/>
    <w:rsid w:val="00E15143"/>
    <w:rsid w:val="00E37034"/>
    <w:rsid w:val="00ED1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8A337"/>
  <w15:chartTrackingRefBased/>
  <w15:docId w15:val="{9FA9C8E8-82CD-4B88-B1F3-82E3EF1E4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26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4022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15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5143"/>
  </w:style>
  <w:style w:type="paragraph" w:styleId="a7">
    <w:name w:val="footer"/>
    <w:basedOn w:val="a"/>
    <w:link w:val="a8"/>
    <w:uiPriority w:val="99"/>
    <w:unhideWhenUsed/>
    <w:rsid w:val="00E151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51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harmstd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harmstd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harmstd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8A47C-90AB-4BE0-8B07-EAEC58B14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19</Pages>
  <Words>3969</Words>
  <Characters>22629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Pharmstandart</Company>
  <LinksUpToDate>false</LinksUpToDate>
  <CharactersWithSpaces>26545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Макарова Екатерина Вячеславовна</dc:creator>
  <cp:keywords/>
  <dc:description/>
  <cp:lastModifiedBy>Макарова Екатерина Вячеславовна</cp:lastModifiedBy>
  <cp:revision>6</cp:revision>
  <dcterms:created xsi:type="dcterms:W3CDTF">2024-11-15T11:20:00Z</dcterms:created>
  <dcterms:modified xsi:type="dcterms:W3CDTF">2024-11-15T12:40:00Z</dcterms:modified>
</cp:coreProperties>
</file>