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8F5F9" w14:textId="4275073B" w:rsidR="00173CB6" w:rsidRPr="00125264" w:rsidRDefault="00173CB6" w:rsidP="00074022">
      <w:pPr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ИНСТРУКЦИЯ </w:t>
      </w:r>
    </w:p>
    <w:p w14:paraId="42F14200" w14:textId="77777777" w:rsidR="00173CB6" w:rsidRPr="00125264" w:rsidRDefault="00173CB6" w:rsidP="00074022">
      <w:pPr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ПО МЕДИЦИНСКОМУ ПРИМЕНЕНИЮ ЛЕКАРСТВЕННОГО ПРЕПАРАТА </w:t>
      </w:r>
    </w:p>
    <w:p w14:paraId="3C7DDABC" w14:textId="77777777" w:rsidR="00173CB6" w:rsidRPr="00125264" w:rsidRDefault="00173CB6" w:rsidP="00074022">
      <w:pPr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>ПИКАМИЛОН</w:t>
      </w:r>
      <w:r w:rsidRPr="00074022">
        <w:rPr>
          <w:rFonts w:ascii="Times New Roman" w:hAnsi="Times New Roman" w:cs="Times New Roman"/>
          <w:b/>
          <w:sz w:val="23"/>
          <w:szCs w:val="23"/>
          <w:vertAlign w:val="superscript"/>
        </w:rPr>
        <w:t>®</w:t>
      </w:r>
    </w:p>
    <w:p w14:paraId="433D24E1" w14:textId="77777777" w:rsidR="00173CB6" w:rsidRDefault="00173CB6" w:rsidP="00074022">
      <w:pPr>
        <w:spacing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14:paraId="1BBCA9A0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Регистрационный номер: </w:t>
      </w:r>
    </w:p>
    <w:p w14:paraId="2FC42975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Торговое название препарата: </w:t>
      </w:r>
      <w:proofErr w:type="spellStart"/>
      <w:r w:rsidR="00E37034">
        <w:rPr>
          <w:rFonts w:ascii="Times New Roman" w:hAnsi="Times New Roman" w:cs="Times New Roman"/>
          <w:sz w:val="23"/>
          <w:szCs w:val="23"/>
        </w:rPr>
        <w:t>Пикамилон</w:t>
      </w:r>
      <w:proofErr w:type="spellEnd"/>
      <w:r w:rsidR="00E37034">
        <w:rPr>
          <w:rFonts w:ascii="Times New Roman" w:hAnsi="Times New Roman" w:cs="Times New Roman"/>
          <w:sz w:val="23"/>
          <w:szCs w:val="23"/>
        </w:rPr>
        <w:t>®</w:t>
      </w:r>
      <w:r w:rsidRPr="00BF75C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377282D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>М</w:t>
      </w:r>
      <w:r>
        <w:rPr>
          <w:rFonts w:ascii="Times New Roman" w:hAnsi="Times New Roman" w:cs="Times New Roman"/>
          <w:b/>
          <w:bCs/>
          <w:sz w:val="23"/>
          <w:szCs w:val="23"/>
        </w:rPr>
        <w:t>еждународное непатентованное</w:t>
      </w: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 или группировочное название: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никотин</w:t>
      </w:r>
      <w:r w:rsidR="00E37034">
        <w:rPr>
          <w:rFonts w:ascii="Times New Roman" w:hAnsi="Times New Roman" w:cs="Times New Roman"/>
          <w:sz w:val="23"/>
          <w:szCs w:val="23"/>
        </w:rPr>
        <w:t>оил</w:t>
      </w:r>
      <w:proofErr w:type="spellEnd"/>
      <w:r w:rsidR="00E37034">
        <w:rPr>
          <w:rFonts w:ascii="Times New Roman" w:hAnsi="Times New Roman" w:cs="Times New Roman"/>
          <w:sz w:val="23"/>
          <w:szCs w:val="23"/>
        </w:rPr>
        <w:t xml:space="preserve"> гамма-аминомасляная кислота</w:t>
      </w:r>
      <w:r w:rsidRPr="00BF75C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D4D0270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Химическое название: </w:t>
      </w:r>
      <w:r w:rsidRPr="00BF75C8">
        <w:rPr>
          <w:rFonts w:ascii="Times New Roman" w:hAnsi="Times New Roman" w:cs="Times New Roman"/>
          <w:sz w:val="23"/>
          <w:szCs w:val="23"/>
        </w:rPr>
        <w:t>натриевая соль N-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никотиноил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>-гамма</w:t>
      </w:r>
      <w:r w:rsidR="00E37034">
        <w:rPr>
          <w:rFonts w:ascii="Times New Roman" w:hAnsi="Times New Roman" w:cs="Times New Roman"/>
          <w:sz w:val="23"/>
          <w:szCs w:val="23"/>
        </w:rPr>
        <w:t>-аминомасляной кислоты</w:t>
      </w:r>
      <w:r w:rsidRPr="00BF75C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E637673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Лекарственная форма: </w:t>
      </w:r>
      <w:r w:rsidR="00E37034">
        <w:rPr>
          <w:rFonts w:ascii="Times New Roman" w:hAnsi="Times New Roman" w:cs="Times New Roman"/>
          <w:sz w:val="23"/>
          <w:szCs w:val="23"/>
        </w:rPr>
        <w:t>таблетки</w:t>
      </w:r>
      <w:r w:rsidRPr="00BF75C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8C40BF7" w14:textId="77777777"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140BFC0B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Описание: </w:t>
      </w:r>
      <w:r w:rsidRPr="00E37034">
        <w:rPr>
          <w:rFonts w:ascii="Times New Roman" w:hAnsi="Times New Roman" w:cs="Times New Roman"/>
          <w:bCs/>
          <w:sz w:val="23"/>
          <w:szCs w:val="23"/>
        </w:rPr>
        <w:t xml:space="preserve">круглые плоскоцилиндрические таблетки белого цвета с </w:t>
      </w:r>
      <w:r w:rsidRPr="00E37034">
        <w:rPr>
          <w:rFonts w:ascii="Times New Roman" w:hAnsi="Times New Roman" w:cs="Times New Roman"/>
          <w:sz w:val="23"/>
          <w:szCs w:val="23"/>
        </w:rPr>
        <w:t>фаской</w:t>
      </w:r>
      <w:r w:rsidRPr="00BF75C8">
        <w:rPr>
          <w:rFonts w:ascii="Times New Roman" w:hAnsi="Times New Roman" w:cs="Times New Roman"/>
          <w:sz w:val="23"/>
          <w:szCs w:val="23"/>
        </w:rPr>
        <w:t xml:space="preserve"> (дозировка 20 мг) и фаской и риской (дозировка 50 мг). </w:t>
      </w:r>
    </w:p>
    <w:p w14:paraId="2AD0E878" w14:textId="77777777"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2B731F75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Состав на одну таблетку </w:t>
      </w:r>
    </w:p>
    <w:p w14:paraId="7A8A9980" w14:textId="77777777" w:rsidR="00173CB6" w:rsidRPr="00E37034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i/>
          <w:sz w:val="23"/>
          <w:szCs w:val="23"/>
        </w:rPr>
      </w:pPr>
      <w:r w:rsidRPr="00E37034">
        <w:rPr>
          <w:rFonts w:ascii="Times New Roman" w:hAnsi="Times New Roman" w:cs="Times New Roman"/>
          <w:b/>
          <w:bCs/>
          <w:i/>
          <w:sz w:val="23"/>
          <w:szCs w:val="23"/>
        </w:rPr>
        <w:t>Действующее вещество:</w:t>
      </w:r>
    </w:p>
    <w:p w14:paraId="322FC713" w14:textId="77777777" w:rsidR="00173CB6" w:rsidRPr="00E37034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spellStart"/>
      <w:r w:rsidRPr="00E37034">
        <w:rPr>
          <w:rFonts w:ascii="Times New Roman" w:hAnsi="Times New Roman" w:cs="Times New Roman"/>
          <w:bCs/>
          <w:sz w:val="23"/>
          <w:szCs w:val="23"/>
        </w:rPr>
        <w:t>Никотиноил</w:t>
      </w:r>
      <w:proofErr w:type="spellEnd"/>
      <w:r w:rsidRPr="00E37034">
        <w:rPr>
          <w:rFonts w:ascii="Times New Roman" w:hAnsi="Times New Roman" w:cs="Times New Roman"/>
          <w:bCs/>
          <w:sz w:val="23"/>
          <w:szCs w:val="23"/>
        </w:rPr>
        <w:t xml:space="preserve"> гамма-</w:t>
      </w:r>
      <w:proofErr w:type="spellStart"/>
      <w:r w:rsidRPr="00E37034">
        <w:rPr>
          <w:rFonts w:ascii="Times New Roman" w:hAnsi="Times New Roman" w:cs="Times New Roman"/>
          <w:bCs/>
          <w:sz w:val="23"/>
          <w:szCs w:val="23"/>
        </w:rPr>
        <w:t>аминобутират</w:t>
      </w:r>
      <w:proofErr w:type="spellEnd"/>
      <w:r w:rsidRPr="00E37034">
        <w:rPr>
          <w:rFonts w:ascii="Times New Roman" w:hAnsi="Times New Roman" w:cs="Times New Roman"/>
          <w:bCs/>
          <w:sz w:val="23"/>
          <w:szCs w:val="23"/>
        </w:rPr>
        <w:t xml:space="preserve"> натрия – 20,00 мг или 50,00 мг.</w:t>
      </w:r>
    </w:p>
    <w:p w14:paraId="6DF4FC3E" w14:textId="77777777" w:rsidR="00173CB6" w:rsidRPr="00E37034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i/>
          <w:sz w:val="23"/>
          <w:szCs w:val="23"/>
        </w:rPr>
      </w:pPr>
      <w:r w:rsidRPr="00E37034">
        <w:rPr>
          <w:rFonts w:ascii="Times New Roman" w:hAnsi="Times New Roman" w:cs="Times New Roman"/>
          <w:b/>
          <w:bCs/>
          <w:i/>
          <w:sz w:val="23"/>
          <w:szCs w:val="23"/>
        </w:rPr>
        <w:t>Вспомогательные вещества:</w:t>
      </w:r>
    </w:p>
    <w:p w14:paraId="6A7DB648" w14:textId="77777777" w:rsidR="00173CB6" w:rsidRPr="00E37034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Cs/>
          <w:sz w:val="23"/>
          <w:szCs w:val="23"/>
        </w:rPr>
        <w:t xml:space="preserve">Крахмал картофельный – 18,70 мг или 46,78 мг, крахмал кукурузный – 0,60 мг или 1,47 мг, магния </w:t>
      </w:r>
      <w:proofErr w:type="spellStart"/>
      <w:r w:rsidRPr="00E37034">
        <w:rPr>
          <w:rFonts w:ascii="Times New Roman" w:hAnsi="Times New Roman" w:cs="Times New Roman"/>
          <w:bCs/>
          <w:sz w:val="23"/>
          <w:szCs w:val="23"/>
        </w:rPr>
        <w:t>гидроксикарбонат</w:t>
      </w:r>
      <w:proofErr w:type="spellEnd"/>
      <w:r w:rsidRPr="00E37034">
        <w:rPr>
          <w:rFonts w:ascii="Times New Roman" w:hAnsi="Times New Roman" w:cs="Times New Roman"/>
          <w:bCs/>
          <w:sz w:val="23"/>
          <w:szCs w:val="23"/>
        </w:rPr>
        <w:t xml:space="preserve"> (магния карбонат </w:t>
      </w:r>
      <w:proofErr w:type="spellStart"/>
      <w:r w:rsidRPr="00E37034">
        <w:rPr>
          <w:rFonts w:ascii="Times New Roman" w:hAnsi="Times New Roman" w:cs="Times New Roman"/>
          <w:bCs/>
          <w:sz w:val="23"/>
          <w:szCs w:val="23"/>
        </w:rPr>
        <w:t>оснвной</w:t>
      </w:r>
      <w:proofErr w:type="spellEnd"/>
      <w:r w:rsidRPr="00E37034">
        <w:rPr>
          <w:rFonts w:ascii="Times New Roman" w:hAnsi="Times New Roman" w:cs="Times New Roman"/>
          <w:bCs/>
          <w:sz w:val="23"/>
          <w:szCs w:val="23"/>
        </w:rPr>
        <w:t xml:space="preserve">) – 15,53 мг или 38,82 мг, сахароза (сахар белый) – 42,55 мг или 106, 38 мг, кальция </w:t>
      </w:r>
      <w:proofErr w:type="spellStart"/>
      <w:r w:rsidRPr="00E37034">
        <w:rPr>
          <w:rFonts w:ascii="Times New Roman" w:hAnsi="Times New Roman" w:cs="Times New Roman"/>
          <w:bCs/>
          <w:sz w:val="23"/>
          <w:szCs w:val="23"/>
        </w:rPr>
        <w:t>стеарат</w:t>
      </w:r>
      <w:proofErr w:type="spellEnd"/>
      <w:r w:rsidRPr="00E37034">
        <w:rPr>
          <w:rFonts w:ascii="Times New Roman" w:hAnsi="Times New Roman" w:cs="Times New Roman"/>
          <w:bCs/>
          <w:sz w:val="23"/>
          <w:szCs w:val="23"/>
        </w:rPr>
        <w:t xml:space="preserve"> – 1,00 мг или 2,50 мг, тальк – 1,62 мг ил 4,05 мг. </w:t>
      </w:r>
    </w:p>
    <w:p w14:paraId="73C6C763" w14:textId="77777777"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2BDC1C00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Фармакотерапевтическая группа: </w:t>
      </w:r>
      <w:r w:rsidRPr="00BF75C8">
        <w:rPr>
          <w:rFonts w:ascii="Times New Roman" w:hAnsi="Times New Roman" w:cs="Times New Roman"/>
          <w:sz w:val="23"/>
          <w:szCs w:val="23"/>
        </w:rPr>
        <w:t xml:space="preserve">ноотропное средство. </w:t>
      </w:r>
    </w:p>
    <w:p w14:paraId="362AE95E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Код АТС: </w:t>
      </w:r>
      <w:r w:rsidRPr="00BF75C8">
        <w:rPr>
          <w:rFonts w:ascii="Times New Roman" w:hAnsi="Times New Roman" w:cs="Times New Roman"/>
          <w:sz w:val="23"/>
          <w:szCs w:val="23"/>
        </w:rPr>
        <w:t xml:space="preserve">[N06BX]. </w:t>
      </w:r>
    </w:p>
    <w:p w14:paraId="27478BEC" w14:textId="77777777"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7ECFAF3A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Фармакологические свойства </w:t>
      </w:r>
    </w:p>
    <w:p w14:paraId="008243C1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Фармакодинамика </w:t>
      </w:r>
    </w:p>
    <w:p w14:paraId="206DE402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Ноотропное средство, расширяет сосуды головного мозга. Оказывает также транквилизирующее, психостимулирующее,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антиагрегантное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 и антиоксидантное действие. </w:t>
      </w:r>
      <w:r w:rsidRPr="00BF75C8">
        <w:rPr>
          <w:rFonts w:ascii="Times New Roman" w:hAnsi="Times New Roman" w:cs="Times New Roman"/>
          <w:sz w:val="23"/>
          <w:szCs w:val="23"/>
        </w:rPr>
        <w:lastRenderedPageBreak/>
        <w:t xml:space="preserve">Улучшает функциональное состояние мозга за счет нормализации метаболизма тканей и влияния на мозговое кровообращение (увеличивает объемную и линейную скорость мозгового кровотока, уменьшает сопротивление сосудов, ингибируя агрегацию тромбоцитов, улучшает микроциркуляцию). </w:t>
      </w:r>
    </w:p>
    <w:p w14:paraId="32D0F09A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>При курсовом приеме повышает физическую и умственную работоспособность, уменьшает головную боль, улучшает память, нормализует сон; способствует снижению или</w:t>
      </w:r>
      <w:r w:rsidR="00074022">
        <w:rPr>
          <w:rFonts w:ascii="Times New Roman" w:hAnsi="Times New Roman" w:cs="Times New Roman"/>
          <w:sz w:val="23"/>
          <w:szCs w:val="23"/>
        </w:rPr>
        <w:t xml:space="preserve"> </w:t>
      </w:r>
      <w:r w:rsidRPr="00BF75C8">
        <w:rPr>
          <w:rFonts w:ascii="Times New Roman" w:hAnsi="Times New Roman" w:cs="Times New Roman"/>
          <w:sz w:val="23"/>
          <w:szCs w:val="23"/>
        </w:rPr>
        <w:t xml:space="preserve">исчезновению чувства тревоги, напряжения, страха; улучшает состояние больных с двигательными и речевыми нарушениями, уменьшает угнетающее влияние этанола на центральную нервную систему. Улучшает кровообращение в сосудах сетчатки и зрительного нерва. </w:t>
      </w:r>
    </w:p>
    <w:p w14:paraId="14AB1B0D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Фармакокинетика </w:t>
      </w:r>
    </w:p>
    <w:p w14:paraId="03398E6A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Абсорбция - быстрая и полная. Проникает через гематоэнцефалический барьер, длительно удерживаясь в тканях организма. Биодоступность - 50-88 %. Выводится, в основном, почками в неизменном виде. Период полувыведения - 0,51 ч. </w:t>
      </w:r>
    </w:p>
    <w:p w14:paraId="52193BAE" w14:textId="77777777"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2D136921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Показания к применению </w:t>
      </w:r>
    </w:p>
    <w:p w14:paraId="5CB4E0CB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Комплексная терапия ишемических нарушений мозгового кровообращения легкой и средней тяжести, хроническая цереброваскулярная недостаточность, состояние после черепно-мозговых травм, лечение хронического алкоголизма (для уменьшения астенических,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астеноневротических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постпсихотических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предрецидивных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 состояний, а также алкогольной энцефалопатии). </w:t>
      </w:r>
    </w:p>
    <w:p w14:paraId="2220A25E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В составе комплексной терапии для профилактики мигрени. </w:t>
      </w:r>
    </w:p>
    <w:p w14:paraId="5901A2B9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В составе комплексной терапии первичной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открытоугольной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 глаукомы с компенсированным давлением, при заболеваниях сетчатки и зрительного нерва сосудистого генеза. </w:t>
      </w:r>
    </w:p>
    <w:p w14:paraId="2ECC845A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В урологической практике (у детей старше 3-х лет и у взрослых с расстройствами мочеиспускания для улучшения адаптационной функции мочевого пузыря (снижение гипоксии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детрузора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). </w:t>
      </w:r>
    </w:p>
    <w:p w14:paraId="76FE2ECF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В комплексной терапии синдрома дистонии, сопровождающейся тревогой, страхом, повышенной раздражительностью, эмоциональной лабильностью. </w:t>
      </w:r>
    </w:p>
    <w:p w14:paraId="1056AB4C" w14:textId="77777777"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67F62BE5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Противопоказания </w:t>
      </w:r>
    </w:p>
    <w:p w14:paraId="69FECD40" w14:textId="77777777" w:rsidR="00173CB6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Гиперчувствительность, хроническая почечная недостаточность, беременность, период грудного вскармливания, детский возраст до 3 лет (у детей старше 3 лет применяется только </w:t>
      </w:r>
      <w:r w:rsidRPr="00BF75C8">
        <w:rPr>
          <w:rFonts w:ascii="Times New Roman" w:hAnsi="Times New Roman" w:cs="Times New Roman"/>
          <w:sz w:val="23"/>
          <w:szCs w:val="23"/>
        </w:rPr>
        <w:lastRenderedPageBreak/>
        <w:t xml:space="preserve">при расстройствах мочеиспускания), дефицит сахарозы/изомальтозы, непереносимость фруктозы,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глюкозо-галактозная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мальабсорбция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>.</w:t>
      </w:r>
    </w:p>
    <w:p w14:paraId="6F150104" w14:textId="77777777" w:rsidR="00E15143" w:rsidRPr="00BF75C8" w:rsidRDefault="00E15143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3D4DE75" w14:textId="77777777" w:rsidR="00173CB6" w:rsidRPr="00E37034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37034">
        <w:rPr>
          <w:rFonts w:ascii="Times New Roman" w:hAnsi="Times New Roman" w:cs="Times New Roman"/>
          <w:b/>
          <w:sz w:val="23"/>
          <w:szCs w:val="23"/>
        </w:rPr>
        <w:t>Применение при беременности и в период грудного вскармливания</w:t>
      </w:r>
    </w:p>
    <w:p w14:paraId="6866E679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>Не рекомендуется применение препарата при б</w:t>
      </w:r>
      <w:r w:rsidR="00074022">
        <w:rPr>
          <w:rFonts w:ascii="Times New Roman" w:hAnsi="Times New Roman" w:cs="Times New Roman"/>
          <w:sz w:val="23"/>
          <w:szCs w:val="23"/>
        </w:rPr>
        <w:t xml:space="preserve">еременности и в период грудного </w:t>
      </w:r>
      <w:r w:rsidRPr="00BF75C8">
        <w:rPr>
          <w:rFonts w:ascii="Times New Roman" w:hAnsi="Times New Roman" w:cs="Times New Roman"/>
          <w:sz w:val="23"/>
          <w:szCs w:val="23"/>
        </w:rPr>
        <w:t>вскармливания в связи с отсутствием опыта клинического применения у данной категории пациентов.</w:t>
      </w:r>
    </w:p>
    <w:p w14:paraId="4EA4A418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D381B64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Способ применения и дозы </w:t>
      </w:r>
    </w:p>
    <w:p w14:paraId="0C7F89AC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Препарат принимают внутрь, независимо от приема пищи. </w:t>
      </w:r>
    </w:p>
    <w:p w14:paraId="13D143C2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При цереброваскулярных заболеваниях</w:t>
      </w:r>
      <w:r w:rsidRPr="00BF75C8">
        <w:rPr>
          <w:rFonts w:ascii="Times New Roman" w:hAnsi="Times New Roman" w:cs="Times New Roman"/>
          <w:sz w:val="23"/>
          <w:szCs w:val="23"/>
        </w:rPr>
        <w:t xml:space="preserve"> разовая доза - 20-50 мг 2-3 раза в сутки, в суточной дозе 60-150 мг. Курс лечения - 1-2 месяца. Повторный курс через 5-6 мес. </w:t>
      </w:r>
    </w:p>
    <w:p w14:paraId="5E212CC3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Для профилактики приступов мигрени</w:t>
      </w:r>
      <w:r w:rsidRPr="00BF75C8">
        <w:rPr>
          <w:rFonts w:ascii="Times New Roman" w:hAnsi="Times New Roman" w:cs="Times New Roman"/>
          <w:sz w:val="23"/>
          <w:szCs w:val="23"/>
        </w:rPr>
        <w:t xml:space="preserve"> по 50 мг 3 раза в день, для купирования приступа - по 100 мг однократно. </w:t>
      </w:r>
    </w:p>
    <w:p w14:paraId="39BF1307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Депрессивные состояния позднего возраста</w:t>
      </w:r>
      <w:r w:rsidRPr="00BF75C8">
        <w:rPr>
          <w:rFonts w:ascii="Times New Roman" w:hAnsi="Times New Roman" w:cs="Times New Roman"/>
          <w:sz w:val="23"/>
          <w:szCs w:val="23"/>
        </w:rPr>
        <w:t xml:space="preserve"> - 40-200 мг в сутки за 2-3 приема, оптимальная дозировка - 60-120 мг в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сут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, в течение 1,5-3 месяцев. </w:t>
      </w:r>
    </w:p>
    <w:p w14:paraId="7249B361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В качестве астенического и </w:t>
      </w:r>
      <w:proofErr w:type="spellStart"/>
      <w:r w:rsidRPr="00E37034">
        <w:rPr>
          <w:rFonts w:ascii="Times New Roman" w:hAnsi="Times New Roman" w:cs="Times New Roman"/>
          <w:b/>
          <w:i/>
          <w:sz w:val="23"/>
          <w:szCs w:val="23"/>
        </w:rPr>
        <w:t>анксиолитического</w:t>
      </w:r>
      <w:proofErr w:type="spellEnd"/>
      <w:r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 средства</w:t>
      </w:r>
      <w:r w:rsidRPr="00BF75C8">
        <w:rPr>
          <w:rFonts w:ascii="Times New Roman" w:hAnsi="Times New Roman" w:cs="Times New Roman"/>
          <w:sz w:val="23"/>
          <w:szCs w:val="23"/>
        </w:rPr>
        <w:t xml:space="preserve"> по 40-80 мг в сутки, при необходимости до 200-300 мг в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сут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, в течение 1-1,5 месяцев. </w:t>
      </w:r>
    </w:p>
    <w:p w14:paraId="10738727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При алкоголизме в период абстиненции</w:t>
      </w:r>
      <w:r w:rsidRPr="00BF75C8">
        <w:rPr>
          <w:rFonts w:ascii="Times New Roman" w:hAnsi="Times New Roman" w:cs="Times New Roman"/>
          <w:sz w:val="23"/>
          <w:szCs w:val="23"/>
        </w:rPr>
        <w:t xml:space="preserve"> - 100-150 мг в сутки, коротким курсом 6-7 дней; при более стойких нарушениях вне абстиненции суточная доза 40-60 мг - в течение 4-5 недель. </w:t>
      </w:r>
    </w:p>
    <w:p w14:paraId="3B14A0D6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Для восстановления работоспособности и при повышенных нагрузках</w:t>
      </w:r>
      <w:r w:rsidRPr="00BF75C8">
        <w:rPr>
          <w:rFonts w:ascii="Times New Roman" w:hAnsi="Times New Roman" w:cs="Times New Roman"/>
          <w:sz w:val="23"/>
          <w:szCs w:val="23"/>
        </w:rPr>
        <w:t xml:space="preserve"> по 60-80 мг в сутки в течение 1-1,5 месяцев, для спортсменов в той же дозе, в течение 2 недель тренировочного периода. </w:t>
      </w:r>
    </w:p>
    <w:p w14:paraId="216AF807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При первичной </w:t>
      </w:r>
      <w:proofErr w:type="spellStart"/>
      <w:r w:rsidRPr="00E37034">
        <w:rPr>
          <w:rFonts w:ascii="Times New Roman" w:hAnsi="Times New Roman" w:cs="Times New Roman"/>
          <w:b/>
          <w:i/>
          <w:sz w:val="23"/>
          <w:szCs w:val="23"/>
        </w:rPr>
        <w:t>открытоугольной</w:t>
      </w:r>
      <w:proofErr w:type="spellEnd"/>
      <w:r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 глаукоме</w:t>
      </w:r>
      <w:r w:rsidRPr="00BF75C8">
        <w:rPr>
          <w:rFonts w:ascii="Times New Roman" w:hAnsi="Times New Roman" w:cs="Times New Roman"/>
          <w:sz w:val="23"/>
          <w:szCs w:val="23"/>
        </w:rPr>
        <w:t xml:space="preserve"> - по 50 мг 3 раза в день в течение 1 месяца. </w:t>
      </w:r>
    </w:p>
    <w:p w14:paraId="1FB9E68F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При заболеваниях сетчатки и зрительного нерва</w:t>
      </w:r>
      <w:r w:rsidRPr="00BF75C8">
        <w:rPr>
          <w:rFonts w:ascii="Times New Roman" w:hAnsi="Times New Roman" w:cs="Times New Roman"/>
          <w:sz w:val="23"/>
          <w:szCs w:val="23"/>
        </w:rPr>
        <w:t xml:space="preserve"> первые 12 дней вводят внутримышечно, затем в зависимости от состояния назначают внутрь по 20-50 мг 3 раза в день в суточной дозе 60-150 мг в течение 1 мес. </w:t>
      </w:r>
    </w:p>
    <w:p w14:paraId="39CEB066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При расстройствах мочеиспускания</w:t>
      </w:r>
      <w:r w:rsidRPr="00BF75C8">
        <w:rPr>
          <w:rFonts w:ascii="Times New Roman" w:hAnsi="Times New Roman" w:cs="Times New Roman"/>
          <w:sz w:val="23"/>
          <w:szCs w:val="23"/>
        </w:rPr>
        <w:t xml:space="preserve"> по 20 мг 2 раза в день (для детей от 3 до 10 лет), 50 мг 2 раза в день (для детей от 11 до 15 лет), 50 мг 3 раза в день (для пациентов старше 15 лет). Курс лечения 1 мес. </w:t>
      </w:r>
    </w:p>
    <w:p w14:paraId="49521897" w14:textId="77777777"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6D862308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lastRenderedPageBreak/>
        <w:t xml:space="preserve">Побочное действие </w:t>
      </w:r>
    </w:p>
    <w:p w14:paraId="4DFAE35D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Аллергические реакции (кожная сыпь, зуд), головокружение, головная боль, легкая тошнота, раздражительность, тревога, возбуждение. </w:t>
      </w:r>
    </w:p>
    <w:p w14:paraId="2CF1518F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>При появлении вышеперечисленных признаков немедленно обратитесь к врачу.</w:t>
      </w:r>
    </w:p>
    <w:p w14:paraId="40D2AE92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>Если любые из указанных в инструкции побочных эффектов усугубляются, или вы заметили любые другие побочные эффекты, не указанные в инструкции, сообщите об этом врачу.</w:t>
      </w:r>
    </w:p>
    <w:p w14:paraId="6D7FE5C9" w14:textId="77777777"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5E9F4C8C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Передозировка </w:t>
      </w:r>
    </w:p>
    <w:p w14:paraId="204892DE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Усиление выраженности симптомов побочного действия. Лечение симптоматическое. </w:t>
      </w:r>
    </w:p>
    <w:p w14:paraId="1B3719BB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Взаимодействие с другими лекарственными средствами </w:t>
      </w:r>
    </w:p>
    <w:p w14:paraId="2BE2CE90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Укорачивает действие барбитуратов, усиливает действие опиоидных анальгетиков. </w:t>
      </w:r>
    </w:p>
    <w:p w14:paraId="371B238F" w14:textId="77777777"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272FF619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>Особые указания</w:t>
      </w:r>
    </w:p>
    <w:p w14:paraId="7600EC0E" w14:textId="77777777" w:rsidR="00173CB6" w:rsidRPr="00E37034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7034">
        <w:rPr>
          <w:rFonts w:ascii="Times New Roman" w:hAnsi="Times New Roman" w:cs="Times New Roman"/>
          <w:bCs/>
          <w:sz w:val="23"/>
          <w:szCs w:val="23"/>
        </w:rPr>
        <w:t>Перед началом приема препарата необходимо проконсультироваться с врачом.</w:t>
      </w:r>
    </w:p>
    <w:p w14:paraId="1C6CC029" w14:textId="77777777" w:rsidR="00E37034" w:rsidRPr="00BF75C8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1314AE1A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>Влияние на способность управлять транспортными средствами и механизмами</w:t>
      </w:r>
    </w:p>
    <w:p w14:paraId="1B67E0AE" w14:textId="77777777" w:rsidR="00173CB6" w:rsidRPr="00E37034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7034">
        <w:rPr>
          <w:rFonts w:ascii="Times New Roman" w:hAnsi="Times New Roman" w:cs="Times New Roman"/>
          <w:bCs/>
          <w:sz w:val="23"/>
          <w:szCs w:val="23"/>
        </w:rPr>
        <w:t>В связи с возможностью возникновения головокружения и других побочных эффектов, связанных с приемом препарата, в период лечения пациентам рекомендуется воздержаться от управления автотранспортом и занятий други</w:t>
      </w:r>
      <w:r w:rsidR="00074022">
        <w:rPr>
          <w:rFonts w:ascii="Times New Roman" w:hAnsi="Times New Roman" w:cs="Times New Roman"/>
          <w:bCs/>
          <w:sz w:val="23"/>
          <w:szCs w:val="23"/>
        </w:rPr>
        <w:t xml:space="preserve">ми потенциально опасными видами </w:t>
      </w:r>
      <w:r w:rsidRPr="00E37034">
        <w:rPr>
          <w:rFonts w:ascii="Times New Roman" w:hAnsi="Times New Roman" w:cs="Times New Roman"/>
          <w:bCs/>
          <w:sz w:val="23"/>
          <w:szCs w:val="23"/>
        </w:rPr>
        <w:t>деятельности, требующими повышенной концентрации внимания и быстроты психомоторных и двигательных реакций.</w:t>
      </w:r>
    </w:p>
    <w:p w14:paraId="7B2346C1" w14:textId="77777777"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135E4843" w14:textId="77777777"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Форма выпуска </w:t>
      </w:r>
    </w:p>
    <w:p w14:paraId="2306E66B" w14:textId="77777777" w:rsidR="00173CB6" w:rsidRPr="00E37034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Таблетки, 20</w:t>
      </w:r>
      <w:r w:rsidR="00E37034"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 </w:t>
      </w:r>
      <w:r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мг. </w:t>
      </w:r>
    </w:p>
    <w:p w14:paraId="5AC25390" w14:textId="77777777" w:rsidR="00173CB6" w:rsidRPr="00BF75C8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 30</w:t>
      </w:r>
      <w:r w:rsidR="00173CB6" w:rsidRPr="00BF75C8">
        <w:rPr>
          <w:rFonts w:ascii="Times New Roman" w:hAnsi="Times New Roman" w:cs="Times New Roman"/>
          <w:sz w:val="23"/>
          <w:szCs w:val="23"/>
        </w:rPr>
        <w:t xml:space="preserve"> таблеток в банки полимерные с барьерной горловиной из полиэтилена низкого давления в комплекте с натягиваемой крышкой с контролем первого вскрытия из полиэтилена низкого давления и полиэтилена высокого давления. Или в банки полимерные с винтовой горловиной из полиэтилена низкого давления в комплекте с навинчиваемой крышкой из полиэтилена низкого давления.</w:t>
      </w:r>
    </w:p>
    <w:p w14:paraId="6C0C9A18" w14:textId="77777777" w:rsidR="00173CB6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>На банку наклеивают самоклеящуюся этикетку. Каждую банку вместе с инструкцией по применению помещают в пачку из картона.</w:t>
      </w:r>
    </w:p>
    <w:p w14:paraId="3A80824E" w14:textId="77777777" w:rsidR="00E37034" w:rsidRP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lastRenderedPageBreak/>
        <w:t xml:space="preserve">Таблетки, 50 мг. </w:t>
      </w:r>
    </w:p>
    <w:p w14:paraId="6F13C047" w14:textId="77777777" w:rsidR="00E37034" w:rsidRPr="00BF75C8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>По 30, 60, 90 таблеток в банки полимерные с барьерной горловиной из полиэтилена низкого давления в комплекте с натягиваемой крышкой с контролем первого вскрытия из полиэтилена низкого давления и полиэтилена высокого давления. Или в банки полимерные с винтовой горловиной из полиэтилена низкого давления в комплекте с навинчиваемой крышкой из полиэтилена низкого давления.</w:t>
      </w:r>
    </w:p>
    <w:p w14:paraId="63C44ABE" w14:textId="77777777" w:rsidR="00E37034" w:rsidRPr="00BF75C8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>На банку наклеивают самоклеящуюся этикетку. Каждую банку вместе с инструкцией по применению помещают в пачку из картона.</w:t>
      </w:r>
    </w:p>
    <w:p w14:paraId="7C744B0A" w14:textId="77777777" w:rsidR="00E37034" w:rsidRDefault="00E37034" w:rsidP="00074022">
      <w:pPr>
        <w:spacing w:after="120" w:line="36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14:paraId="146FADAE" w14:textId="77777777"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Условия хранения </w:t>
      </w:r>
    </w:p>
    <w:p w14:paraId="1B66A72F" w14:textId="77777777"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При температуре не выше 25 °С. </w:t>
      </w:r>
    </w:p>
    <w:p w14:paraId="4C2867AD" w14:textId="77777777"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Хранить в недоступном для детей месте. </w:t>
      </w:r>
    </w:p>
    <w:p w14:paraId="451E3B21" w14:textId="77777777" w:rsidR="00E37034" w:rsidRDefault="00E37034" w:rsidP="00074022">
      <w:pPr>
        <w:spacing w:after="120" w:line="36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14:paraId="33CF2E51" w14:textId="77777777"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Срок годности </w:t>
      </w:r>
    </w:p>
    <w:p w14:paraId="2E309E49" w14:textId="77777777"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3 года. Не использовать по истечении срока годности, указанного на упаковке. </w:t>
      </w:r>
    </w:p>
    <w:p w14:paraId="1A352D97" w14:textId="77777777"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Условия отпуска: </w:t>
      </w:r>
    </w:p>
    <w:p w14:paraId="0522AFE2" w14:textId="77777777"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Отпускают </w:t>
      </w:r>
      <w:r w:rsidRPr="00BF75C8">
        <w:rPr>
          <w:rFonts w:ascii="Times New Roman" w:hAnsi="Times New Roman" w:cs="Times New Roman"/>
          <w:sz w:val="23"/>
          <w:szCs w:val="23"/>
        </w:rPr>
        <w:t xml:space="preserve">по рецепту. </w:t>
      </w:r>
    </w:p>
    <w:p w14:paraId="1EC22328" w14:textId="77777777" w:rsidR="00E37034" w:rsidRDefault="00E37034" w:rsidP="00074022">
      <w:pPr>
        <w:spacing w:after="120" w:line="36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14:paraId="18CB75E6" w14:textId="77777777"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Производитель/организация, принимающая претензии потребителей </w:t>
      </w:r>
    </w:p>
    <w:p w14:paraId="5076AD27" w14:textId="77777777"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>ОАО «Фармстандарт-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УфаВИТА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», </w:t>
      </w:r>
    </w:p>
    <w:p w14:paraId="73DD9EA3" w14:textId="77777777"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450077, Россия, Республика Башкортостан, г. Уфа, ул. Худайбердина, д. 28, </w:t>
      </w:r>
    </w:p>
    <w:p w14:paraId="181BBB85" w14:textId="77777777"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телефон/факс (347) 272 92 85, </w:t>
      </w:r>
    </w:p>
    <w:p w14:paraId="0D49FE0E" w14:textId="61CC2930" w:rsidR="00D82BFA" w:rsidRPr="00125264" w:rsidRDefault="00074022" w:rsidP="00A274A4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hyperlink r:id="rId8" w:history="1">
        <w:r w:rsidRPr="00F05BBF">
          <w:rPr>
            <w:rStyle w:val="a4"/>
            <w:rFonts w:ascii="Times New Roman" w:hAnsi="Times New Roman" w:cs="Times New Roman"/>
            <w:sz w:val="23"/>
            <w:szCs w:val="23"/>
          </w:rPr>
          <w:t>www.pharmstd.ru</w:t>
        </w:r>
      </w:hyperlink>
      <w:r w:rsidR="00925284">
        <w:rPr>
          <w:rFonts w:ascii="Times New Roman" w:hAnsi="Times New Roman" w:cs="Times New Roman"/>
          <w:sz w:val="23"/>
          <w:szCs w:val="23"/>
        </w:rPr>
        <w:t xml:space="preserve"> </w:t>
      </w:r>
    </w:p>
    <w:sectPr w:rsidR="00D82BFA" w:rsidRPr="0012526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DB96F" w14:textId="77777777" w:rsidR="00446E8C" w:rsidRDefault="00446E8C" w:rsidP="00E15143">
      <w:pPr>
        <w:spacing w:after="0" w:line="240" w:lineRule="auto"/>
      </w:pPr>
      <w:r>
        <w:separator/>
      </w:r>
    </w:p>
  </w:endnote>
  <w:endnote w:type="continuationSeparator" w:id="0">
    <w:p w14:paraId="61061D41" w14:textId="77777777" w:rsidR="00446E8C" w:rsidRDefault="00446E8C" w:rsidP="00E15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9076022"/>
      <w:docPartObj>
        <w:docPartGallery w:val="Page Numbers (Bottom of Page)"/>
        <w:docPartUnique/>
      </w:docPartObj>
    </w:sdtPr>
    <w:sdtContent>
      <w:p w14:paraId="785131E9" w14:textId="77777777" w:rsidR="00E15143" w:rsidRDefault="00E1514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14:paraId="5DF4B54C" w14:textId="77777777" w:rsidR="00E15143" w:rsidRDefault="00E151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F2470" w14:textId="77777777" w:rsidR="00446E8C" w:rsidRDefault="00446E8C" w:rsidP="00E15143">
      <w:pPr>
        <w:spacing w:after="0" w:line="240" w:lineRule="auto"/>
      </w:pPr>
      <w:r>
        <w:separator/>
      </w:r>
    </w:p>
  </w:footnote>
  <w:footnote w:type="continuationSeparator" w:id="0">
    <w:p w14:paraId="0D62B171" w14:textId="77777777" w:rsidR="00446E8C" w:rsidRDefault="00446E8C" w:rsidP="00E15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0F5C9E"/>
    <w:multiLevelType w:val="hybridMultilevel"/>
    <w:tmpl w:val="A080D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952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264"/>
    <w:rsid w:val="00074022"/>
    <w:rsid w:val="000C55D7"/>
    <w:rsid w:val="000D4EDE"/>
    <w:rsid w:val="00125264"/>
    <w:rsid w:val="00173CB6"/>
    <w:rsid w:val="00446E8C"/>
    <w:rsid w:val="004856DB"/>
    <w:rsid w:val="00693628"/>
    <w:rsid w:val="008E6E28"/>
    <w:rsid w:val="00925284"/>
    <w:rsid w:val="009D2C2D"/>
    <w:rsid w:val="00A274A4"/>
    <w:rsid w:val="00D82BFA"/>
    <w:rsid w:val="00D85A2F"/>
    <w:rsid w:val="00E15143"/>
    <w:rsid w:val="00E37034"/>
    <w:rsid w:val="00ED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66B84"/>
  <w15:chartTrackingRefBased/>
  <w15:docId w15:val="{9FA9C8E8-82CD-4B88-B1F3-82E3EF1E4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26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402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15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5143"/>
  </w:style>
  <w:style w:type="paragraph" w:styleId="a7">
    <w:name w:val="footer"/>
    <w:basedOn w:val="a"/>
    <w:link w:val="a8"/>
    <w:uiPriority w:val="99"/>
    <w:unhideWhenUsed/>
    <w:rsid w:val="00E15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5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armstd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8A47C-90AB-4BE0-8B07-EAEC58B14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Pharmstandart</Company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Екатерина Вячеславовна</dc:creator>
  <cp:keywords/>
  <dc:description/>
  <cp:lastModifiedBy>Сергей Тихомиров</cp:lastModifiedBy>
  <cp:revision>2</cp:revision>
  <dcterms:created xsi:type="dcterms:W3CDTF">2024-11-19T11:41:00Z</dcterms:created>
  <dcterms:modified xsi:type="dcterms:W3CDTF">2024-11-19T11:41:00Z</dcterms:modified>
</cp:coreProperties>
</file>