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A2F06" w14:textId="77777777" w:rsidR="00D82BFA" w:rsidRPr="00D82BFA" w:rsidRDefault="00D82BFA" w:rsidP="00074022">
      <w:pPr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ИНСТРУКЦИЯ</w:t>
      </w:r>
    </w:p>
    <w:p w14:paraId="395ACC93" w14:textId="77777777" w:rsidR="00D82BFA" w:rsidRPr="00D82BFA" w:rsidRDefault="00D82BFA" w:rsidP="00074022">
      <w:pPr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ПО МЕДИЦИНСКОМУ ПРИМЕНЕНИЮ ЛЕКАРСТВЕННОГО ПРЕПАРАТА</w:t>
      </w:r>
    </w:p>
    <w:p w14:paraId="6B67039C" w14:textId="77777777" w:rsidR="00D82BFA" w:rsidRPr="00D82BFA" w:rsidRDefault="00D82BFA" w:rsidP="00074022">
      <w:pPr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ПИКАМИЛОН®</w:t>
      </w:r>
    </w:p>
    <w:p w14:paraId="6A025A33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74B515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Регистрационный номер: </w:t>
      </w:r>
    </w:p>
    <w:p w14:paraId="1F7C1EEB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Торговое наименование:</w:t>
      </w:r>
      <w:r w:rsidRPr="00D82BFA">
        <w:rPr>
          <w:rFonts w:ascii="Times New Roman" w:hAnsi="Times New Roman" w:cs="Times New Roman"/>
          <w:sz w:val="23"/>
          <w:szCs w:val="23"/>
        </w:rPr>
        <w:t xml:space="preserve"> ПИКАМИЛОН®</w:t>
      </w:r>
    </w:p>
    <w:p w14:paraId="77BAECB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Международное непатентованное или группировочное наименование:</w:t>
      </w:r>
      <w:r w:rsidRPr="00D82BF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918366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гамма-аминомасляная кислота </w:t>
      </w:r>
    </w:p>
    <w:p w14:paraId="10EB9BB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Химическое наименование:</w:t>
      </w:r>
      <w:r w:rsidRPr="00D82BFA">
        <w:rPr>
          <w:rFonts w:ascii="Times New Roman" w:hAnsi="Times New Roman" w:cs="Times New Roman"/>
          <w:sz w:val="23"/>
          <w:szCs w:val="23"/>
        </w:rPr>
        <w:t xml:space="preserve"> натриевая соль N-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>-γ-аминомасляной кислоты</w:t>
      </w:r>
    </w:p>
    <w:p w14:paraId="39C2230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Лекарственная форма:</w:t>
      </w:r>
      <w:r w:rsidRPr="00D82BFA">
        <w:rPr>
          <w:rFonts w:ascii="Times New Roman" w:hAnsi="Times New Roman" w:cs="Times New Roman"/>
          <w:sz w:val="23"/>
          <w:szCs w:val="23"/>
        </w:rPr>
        <w:t xml:space="preserve"> раствор для приема внутрь </w:t>
      </w:r>
    </w:p>
    <w:p w14:paraId="67C5E7E7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E5E8381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Состав </w:t>
      </w:r>
    </w:p>
    <w:p w14:paraId="7AE7A5A1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На 1 мл: </w:t>
      </w:r>
    </w:p>
    <w:p w14:paraId="23CA136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i/>
          <w:sz w:val="23"/>
          <w:szCs w:val="23"/>
        </w:rPr>
        <w:t>Действующее вещество:</w:t>
      </w:r>
      <w:r w:rsidRPr="00D82BF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>-гамма-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аминобутират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натрия – 4,0 мг.</w:t>
      </w:r>
    </w:p>
    <w:p w14:paraId="1A57A22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i/>
          <w:sz w:val="23"/>
          <w:szCs w:val="23"/>
        </w:rPr>
        <w:t>Вспомогательные вещества:</w:t>
      </w:r>
      <w:r w:rsidRPr="00D82BFA">
        <w:rPr>
          <w:rFonts w:ascii="Times New Roman" w:hAnsi="Times New Roman" w:cs="Times New Roman"/>
          <w:sz w:val="23"/>
          <w:szCs w:val="23"/>
        </w:rPr>
        <w:t xml:space="preserve"> натрия цитрат – 10,59 мг,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метилпарагидроксибензоат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– </w:t>
      </w:r>
    </w:p>
    <w:p w14:paraId="2EF46113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1,80 мг, ароматизатор клубничный – 1,00 мг,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сукралоза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– 0,47 мг, </w:t>
      </w:r>
    </w:p>
    <w:p w14:paraId="703CE480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пропилпарагидроксибензоат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– 0,20 мг, лимонной кислоты моногидрат – 0,05 мг, вода </w:t>
      </w:r>
    </w:p>
    <w:p w14:paraId="6B16F11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очищенная – до 1,0 мл. </w:t>
      </w:r>
    </w:p>
    <w:p w14:paraId="6A2C0374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58D5BF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Описание:</w:t>
      </w:r>
      <w:r w:rsidRPr="00D82BFA">
        <w:rPr>
          <w:rFonts w:ascii="Times New Roman" w:hAnsi="Times New Roman" w:cs="Times New Roman"/>
          <w:sz w:val="23"/>
          <w:szCs w:val="23"/>
        </w:rPr>
        <w:t xml:space="preserve"> бесцветная прозрачная жидкость с фруктовым запахом. </w:t>
      </w:r>
    </w:p>
    <w:p w14:paraId="0B0E295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Фармакотерапевтическая группа: </w:t>
      </w:r>
      <w:r w:rsidRPr="00D82BFA">
        <w:rPr>
          <w:rFonts w:ascii="Times New Roman" w:hAnsi="Times New Roman" w:cs="Times New Roman"/>
          <w:sz w:val="23"/>
          <w:szCs w:val="23"/>
        </w:rPr>
        <w:t xml:space="preserve">ноотропное средство </w:t>
      </w:r>
    </w:p>
    <w:p w14:paraId="3954A5D4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Код АТХ:</w:t>
      </w:r>
      <w:r w:rsidRPr="00D82BFA">
        <w:rPr>
          <w:rFonts w:ascii="Times New Roman" w:hAnsi="Times New Roman" w:cs="Times New Roman"/>
          <w:sz w:val="23"/>
          <w:szCs w:val="23"/>
        </w:rPr>
        <w:t xml:space="preserve"> N06BX </w:t>
      </w:r>
    </w:p>
    <w:p w14:paraId="7F6A8AD5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55CFEE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Фармакологические свойства </w:t>
      </w:r>
    </w:p>
    <w:p w14:paraId="4BAB783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Фармакодинамика </w:t>
      </w:r>
    </w:p>
    <w:p w14:paraId="0C30052B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Ноотропное средство, расширяет сосуды головного мозга. Оказывает также </w:t>
      </w:r>
    </w:p>
    <w:p w14:paraId="2942E9A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транквилизирующее, психостимулирующее,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антиагрегантное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и антиоксидантное действие. </w:t>
      </w:r>
    </w:p>
    <w:p w14:paraId="070AC43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Улучшает функциональное состояние мозга за счет нормализации метаболизма тканей и </w:t>
      </w:r>
    </w:p>
    <w:p w14:paraId="431691A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влияния на мозговое кровообращение (увеличивает объемную и линейную скорость </w:t>
      </w:r>
    </w:p>
    <w:p w14:paraId="53DE906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мозгового кровотока, уменьшает сопротивлени</w:t>
      </w:r>
      <w:r w:rsidR="00074022">
        <w:rPr>
          <w:rFonts w:ascii="Times New Roman" w:hAnsi="Times New Roman" w:cs="Times New Roman"/>
          <w:sz w:val="23"/>
          <w:szCs w:val="23"/>
        </w:rPr>
        <w:t xml:space="preserve">е сосудов, ингибируя агрегацию </w:t>
      </w:r>
      <w:r w:rsidRPr="00D82BFA">
        <w:rPr>
          <w:rFonts w:ascii="Times New Roman" w:hAnsi="Times New Roman" w:cs="Times New Roman"/>
          <w:sz w:val="23"/>
          <w:szCs w:val="23"/>
        </w:rPr>
        <w:t xml:space="preserve">тромбоцитов, улучшает микроциркуляцию). </w:t>
      </w:r>
    </w:p>
    <w:p w14:paraId="1C57A0DB" w14:textId="77777777"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 курсовом приеме повышает физическую и умственную работоспособность, уменьшает </w:t>
      </w:r>
    </w:p>
    <w:p w14:paraId="68C2C3AE" w14:textId="77777777"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головную боль, улучшает память, нормализует сон; способствует снижен</w:t>
      </w:r>
      <w:r w:rsidR="00074022">
        <w:rPr>
          <w:rFonts w:ascii="Times New Roman" w:hAnsi="Times New Roman" w:cs="Times New Roman"/>
          <w:sz w:val="23"/>
          <w:szCs w:val="23"/>
        </w:rPr>
        <w:t xml:space="preserve">ию или </w:t>
      </w:r>
      <w:r w:rsidRPr="00D82BFA">
        <w:rPr>
          <w:rFonts w:ascii="Times New Roman" w:hAnsi="Times New Roman" w:cs="Times New Roman"/>
          <w:sz w:val="23"/>
          <w:szCs w:val="23"/>
        </w:rPr>
        <w:t xml:space="preserve">исчезновению чувства тревоги, напряжения, страха; улучшает состояние больных с </w:t>
      </w:r>
    </w:p>
    <w:p w14:paraId="12D9C70D" w14:textId="77777777"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lastRenderedPageBreak/>
        <w:t xml:space="preserve">двигательными и речевыми нарушениями, уменьшает угнетающее влияние этанола на </w:t>
      </w:r>
    </w:p>
    <w:p w14:paraId="47B5F33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центральную нервную систему. Улучшает кровообращение в сосудах сетчатки и </w:t>
      </w:r>
    </w:p>
    <w:p w14:paraId="2A409FB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зрительного нерва. </w:t>
      </w:r>
    </w:p>
    <w:p w14:paraId="0C3BBFF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Фармакокинетика </w:t>
      </w:r>
    </w:p>
    <w:p w14:paraId="6B403F1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Абсорбция – быстрая и полная. Проникает через гематоэнцефалический барьер, длительно </w:t>
      </w:r>
    </w:p>
    <w:p w14:paraId="1AC0754D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удерживаясь в тканях организма. Биодоступность – 50-88 %. Выводится, в основном, </w:t>
      </w:r>
    </w:p>
    <w:p w14:paraId="6460C3D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почками в неизменном виде. Период полувыведения – 0,51 ч. </w:t>
      </w:r>
    </w:p>
    <w:p w14:paraId="6F460A23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CFFC44B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Показания к применению </w:t>
      </w:r>
    </w:p>
    <w:p w14:paraId="2B1A5A8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У взрослых: </w:t>
      </w:r>
    </w:p>
    <w:p w14:paraId="2D0F821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комплексной терапии ишемических нарушений мозгового кровообращения легкой и </w:t>
      </w:r>
    </w:p>
    <w:p w14:paraId="46FED47F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средней тяжести, хроническая цереброваскулярная недостаточность, состояние после </w:t>
      </w:r>
    </w:p>
    <w:p w14:paraId="392AD6B1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черепно-мозговых травм. </w:t>
      </w:r>
    </w:p>
    <w:p w14:paraId="3B7B13E0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первичной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открытоугольной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глаукомы, при заболеваниях </w:t>
      </w:r>
    </w:p>
    <w:p w14:paraId="7BB64E7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сетчатки и зрительного нерва сосудистого генеза. </w:t>
      </w:r>
    </w:p>
    <w:p w14:paraId="1BED201F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комплексной терапии синдрома вегетативной дистонии, сопровождающейся тревогой, </w:t>
      </w:r>
    </w:p>
    <w:p w14:paraId="72F6068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страхом, повышенной раздражительностью, эмоциональной лабильностью. </w:t>
      </w:r>
    </w:p>
    <w:p w14:paraId="6365248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для профилактики мигрени. </w:t>
      </w:r>
    </w:p>
    <w:p w14:paraId="3A377E4D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комплексной терапии хронического алкоголизма (для уменьшения астенических, </w:t>
      </w:r>
    </w:p>
    <w:p w14:paraId="7DF5245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астеноневротических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постпсихотических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предрецидивных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состояний, а также </w:t>
      </w:r>
    </w:p>
    <w:p w14:paraId="40800BAD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алкогольной энцефалопатии). </w:t>
      </w:r>
    </w:p>
    <w:p w14:paraId="0B4CBF3F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У взрослых и детей: </w:t>
      </w:r>
    </w:p>
    <w:p w14:paraId="1A518DB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урологической практике (у детей старше 3-х лет и у взрослых с расстройствами </w:t>
      </w:r>
    </w:p>
    <w:p w14:paraId="45B7217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мочеиспускания для улучшения адаптационной функции мочевого пузыря (снижение </w:t>
      </w:r>
    </w:p>
    <w:p w14:paraId="1D8BA69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гипоксии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детрузора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). </w:t>
      </w:r>
    </w:p>
    <w:p w14:paraId="118329A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Улучшение переносимости физических и умственных нагрузок (лицам, находящимся в </w:t>
      </w:r>
    </w:p>
    <w:p w14:paraId="6FE1BEF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напряженных и экстремальных условиях деятельности; для восстановления физической </w:t>
      </w:r>
    </w:p>
    <w:p w14:paraId="4268C92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работоспособности спортсменов, для повышения устойчивости к физическим и </w:t>
      </w:r>
    </w:p>
    <w:p w14:paraId="48F99D8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умственным нагрузкам). </w:t>
      </w:r>
    </w:p>
    <w:p w14:paraId="2B1D455F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CFB149F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Противопоказания </w:t>
      </w:r>
    </w:p>
    <w:p w14:paraId="6752D9B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- Гиперчувствительность к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>-гамма-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аминобутирату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натрия и/или любому </w:t>
      </w:r>
    </w:p>
    <w:p w14:paraId="70767BDF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вспомогательному компоненту препарата; </w:t>
      </w:r>
    </w:p>
    <w:p w14:paraId="0C7AFDAB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- хрониче</w:t>
      </w:r>
      <w:r>
        <w:rPr>
          <w:rFonts w:ascii="Times New Roman" w:hAnsi="Times New Roman" w:cs="Times New Roman"/>
          <w:sz w:val="23"/>
          <w:szCs w:val="23"/>
        </w:rPr>
        <w:t xml:space="preserve">ская почечная недостаточность; </w:t>
      </w:r>
    </w:p>
    <w:p w14:paraId="65625313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lastRenderedPageBreak/>
        <w:t xml:space="preserve">- детский возраст до 3 лет (у детей старше 3 лет применяется только при расстройствах </w:t>
      </w:r>
    </w:p>
    <w:p w14:paraId="0819E47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мочеиспускания). </w:t>
      </w:r>
    </w:p>
    <w:p w14:paraId="645E2D33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0BF8EF6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Применение при беременности и в период грудного вскармливания </w:t>
      </w:r>
    </w:p>
    <w:p w14:paraId="6805B94E" w14:textId="77777777"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Не рекомендуется применение препарата при бе</w:t>
      </w:r>
      <w:r w:rsidR="00074022">
        <w:rPr>
          <w:rFonts w:ascii="Times New Roman" w:hAnsi="Times New Roman" w:cs="Times New Roman"/>
          <w:sz w:val="23"/>
          <w:szCs w:val="23"/>
        </w:rPr>
        <w:t xml:space="preserve">ременности и в период грудного </w:t>
      </w:r>
      <w:r w:rsidRPr="00D82BFA">
        <w:rPr>
          <w:rFonts w:ascii="Times New Roman" w:hAnsi="Times New Roman" w:cs="Times New Roman"/>
          <w:sz w:val="23"/>
          <w:szCs w:val="23"/>
        </w:rPr>
        <w:t xml:space="preserve">вскармливания в связи с отсутствием опыта клинического применения у данной категории </w:t>
      </w:r>
    </w:p>
    <w:p w14:paraId="3EA2D295" w14:textId="77777777"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пациентов. </w:t>
      </w:r>
    </w:p>
    <w:p w14:paraId="07757187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3F9101E3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Способ применения и дозы </w:t>
      </w:r>
    </w:p>
    <w:p w14:paraId="390243FF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Внутрь, независимо от приема пищи. </w:t>
      </w:r>
    </w:p>
    <w:p w14:paraId="26F7620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Перед употреблением тщательно взболтайте флакон. </w:t>
      </w:r>
    </w:p>
    <w:p w14:paraId="7B77AE6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Для удобства дозирования к упаковке с препаратом прилагается мерная ложка с отметкой </w:t>
      </w:r>
    </w:p>
    <w:p w14:paraId="396BABA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2,5 мл и 5 мл. </w:t>
      </w:r>
    </w:p>
    <w:p w14:paraId="72A4B22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5 мл раствора содержит 20 мг действующего вещества.</w:t>
      </w:r>
    </w:p>
    <w:p w14:paraId="3354755D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При расстройствах мочеиспускания детям в возрасте от 3 до 10 лет </w:t>
      </w:r>
      <w:r w:rsidRPr="00D82BFA">
        <w:rPr>
          <w:rFonts w:ascii="Times New Roman" w:hAnsi="Times New Roman" w:cs="Times New Roman"/>
          <w:sz w:val="23"/>
          <w:szCs w:val="23"/>
        </w:rPr>
        <w:t xml:space="preserve">применять по </w:t>
      </w:r>
    </w:p>
    <w:p w14:paraId="4A2744E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5 мл (20 мг) 2 раза в сутки. Максимальная разовая доза – 5 мл (20 мг), максимальная </w:t>
      </w:r>
    </w:p>
    <w:p w14:paraId="5F8C37A0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суточная доза – 10 мл (40 мг). Курс лечения 1 месяц. </w:t>
      </w:r>
    </w:p>
    <w:p w14:paraId="213ED4D0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При расстройствах мочеиспускания детям в возрасте от 11 лет до 15 лет </w:t>
      </w:r>
      <w:r w:rsidRPr="00D82BFA">
        <w:rPr>
          <w:rFonts w:ascii="Times New Roman" w:hAnsi="Times New Roman" w:cs="Times New Roman"/>
          <w:sz w:val="23"/>
          <w:szCs w:val="23"/>
        </w:rPr>
        <w:t xml:space="preserve">применять </w:t>
      </w:r>
    </w:p>
    <w:p w14:paraId="0276E15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по 12,5 мл (50 мг) 2 раза в сутки. Максимальная разовая доза – 12,5 мл (50 мг), максимальная </w:t>
      </w:r>
    </w:p>
    <w:p w14:paraId="25AEAB4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суточная доза – 25 мл (100 мг). Курс лечения 1 месяц. </w:t>
      </w:r>
    </w:p>
    <w:p w14:paraId="38EDAE3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При расстройствах мочеиспускания для пациентов старше 15 лет </w:t>
      </w:r>
      <w:r w:rsidRPr="00D82BFA">
        <w:rPr>
          <w:rFonts w:ascii="Times New Roman" w:hAnsi="Times New Roman" w:cs="Times New Roman"/>
          <w:sz w:val="23"/>
          <w:szCs w:val="23"/>
        </w:rPr>
        <w:t xml:space="preserve">применять по </w:t>
      </w:r>
    </w:p>
    <w:p w14:paraId="11425D23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12,5 мл (50 мг) 3 раза в сутки. Максимальная разовая доза – 12,5 мл (50 мг), максимальная </w:t>
      </w:r>
    </w:p>
    <w:p w14:paraId="39FBCEA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суточная доза – 37,5 мл (150 мг). Курс лечения 1 месяц. </w:t>
      </w:r>
    </w:p>
    <w:p w14:paraId="0C3476D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При цереброваскулярных заболеваниях</w:t>
      </w:r>
      <w:r w:rsidRPr="00D82BFA">
        <w:rPr>
          <w:rFonts w:ascii="Times New Roman" w:hAnsi="Times New Roman" w:cs="Times New Roman"/>
          <w:sz w:val="23"/>
          <w:szCs w:val="23"/>
        </w:rPr>
        <w:t xml:space="preserve"> разовая доза – 5-12,5 мл (20-50 мг) 2-3 раза в сутки. </w:t>
      </w:r>
    </w:p>
    <w:p w14:paraId="53C03EEB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Максимальная разовая доза – 12,5 мл (50 мг), максимальная суточная доза – </w:t>
      </w:r>
    </w:p>
    <w:p w14:paraId="113AA04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37,5 мл (150 мг). Курс лечения – 1-2 месяца. Повторный курс через 5-6 мес. </w:t>
      </w:r>
    </w:p>
    <w:p w14:paraId="112394A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При первичной </w:t>
      </w:r>
      <w:proofErr w:type="spellStart"/>
      <w:r w:rsidRPr="00D82BFA">
        <w:rPr>
          <w:rFonts w:ascii="Times New Roman" w:hAnsi="Times New Roman" w:cs="Times New Roman"/>
          <w:b/>
          <w:i/>
          <w:sz w:val="23"/>
          <w:szCs w:val="23"/>
        </w:rPr>
        <w:t>открытоугольной</w:t>
      </w:r>
      <w:proofErr w:type="spellEnd"/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 глаукоме</w:t>
      </w:r>
      <w:r w:rsidRPr="00D82BFA">
        <w:rPr>
          <w:rFonts w:ascii="Times New Roman" w:hAnsi="Times New Roman" w:cs="Times New Roman"/>
          <w:sz w:val="23"/>
          <w:szCs w:val="23"/>
        </w:rPr>
        <w:t xml:space="preserve"> – по 12,5 мл (50 мг) 3 раза в сутки. </w:t>
      </w:r>
    </w:p>
    <w:p w14:paraId="1D0A310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Максимальная разовая доза – 12,5 мл (50 мг), максимальная суточная доза – 37,5 мл </w:t>
      </w:r>
    </w:p>
    <w:p w14:paraId="2B084831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(</w:t>
      </w:r>
      <w:r>
        <w:rPr>
          <w:rFonts w:ascii="Times New Roman" w:hAnsi="Times New Roman" w:cs="Times New Roman"/>
          <w:sz w:val="23"/>
          <w:szCs w:val="23"/>
        </w:rPr>
        <w:t xml:space="preserve">150 мг). Курс лечения 1 месяц. </w:t>
      </w:r>
    </w:p>
    <w:p w14:paraId="77C6476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При заболеваниях сетчатки и зрительного нерва</w:t>
      </w:r>
      <w:r w:rsidRPr="00D82BFA">
        <w:rPr>
          <w:rFonts w:ascii="Times New Roman" w:hAnsi="Times New Roman" w:cs="Times New Roman"/>
          <w:sz w:val="23"/>
          <w:szCs w:val="23"/>
        </w:rPr>
        <w:t xml:space="preserve"> первые 12 дней используют раствор для </w:t>
      </w:r>
    </w:p>
    <w:p w14:paraId="0CAF39A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внутримышечного введения, затем, в зависимости от состояния, назначают внутрь по </w:t>
      </w:r>
    </w:p>
    <w:p w14:paraId="39447F4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5-12,5 мл (20-50 мг) 3 раза в сутки. Максимальная разовая доза – 12,5 мл (50 мг), </w:t>
      </w:r>
    </w:p>
    <w:p w14:paraId="13D3DA6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максимальная суточная доза – 37,5 мл (150 мг). Курс лечения 1 месяц. </w:t>
      </w:r>
    </w:p>
    <w:p w14:paraId="416E74D0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5842FC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lastRenderedPageBreak/>
        <w:t>Для профилактики приступов мигрени</w:t>
      </w:r>
      <w:r w:rsidRPr="00D82BFA">
        <w:rPr>
          <w:rFonts w:ascii="Times New Roman" w:hAnsi="Times New Roman" w:cs="Times New Roman"/>
          <w:sz w:val="23"/>
          <w:szCs w:val="23"/>
        </w:rPr>
        <w:t xml:space="preserve"> внутрь по 12,5 мл (50 мг) 3 раза в сутки. </w:t>
      </w:r>
    </w:p>
    <w:p w14:paraId="7B297B1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Максимальная разовая доза 12,5 мл (50 мг), максимальная суточная доза 37,5 мл (150 мг). </w:t>
      </w:r>
    </w:p>
    <w:p w14:paraId="0164427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При депрессивных состояниях позднего возраста</w:t>
      </w:r>
      <w:r w:rsidRPr="00D82BFA">
        <w:rPr>
          <w:rFonts w:ascii="Times New Roman" w:hAnsi="Times New Roman" w:cs="Times New Roman"/>
          <w:sz w:val="23"/>
          <w:szCs w:val="23"/>
        </w:rPr>
        <w:t xml:space="preserve"> – 10-50 мл (40-200 мг) в сутки за 2-3 </w:t>
      </w:r>
    </w:p>
    <w:p w14:paraId="7E5623F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приема, оптимальная дозировка – 15-30 мл (60-120 мг) в сутки. Курс лечения 1,5-3 месяцев. </w:t>
      </w:r>
    </w:p>
    <w:p w14:paraId="49AFCEE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В качестве астенического и </w:t>
      </w:r>
      <w:proofErr w:type="spellStart"/>
      <w:r w:rsidRPr="00D82BFA">
        <w:rPr>
          <w:rFonts w:ascii="Times New Roman" w:hAnsi="Times New Roman" w:cs="Times New Roman"/>
          <w:b/>
          <w:i/>
          <w:sz w:val="23"/>
          <w:szCs w:val="23"/>
        </w:rPr>
        <w:t>анксиолитического</w:t>
      </w:r>
      <w:proofErr w:type="spellEnd"/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 средства</w:t>
      </w:r>
      <w:r w:rsidRPr="00D82BFA">
        <w:rPr>
          <w:rFonts w:ascii="Times New Roman" w:hAnsi="Times New Roman" w:cs="Times New Roman"/>
          <w:sz w:val="23"/>
          <w:szCs w:val="23"/>
        </w:rPr>
        <w:t xml:space="preserve"> по 10-20 мл (40-80 мг) в сутки, </w:t>
      </w:r>
    </w:p>
    <w:p w14:paraId="78A103B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 необходимости до 50-75 мл (200-300 мг) в сутки. Курс лечения 1-1,5 месяцев. </w:t>
      </w:r>
    </w:p>
    <w:p w14:paraId="5418DCE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Для восстановления работоспособности и при повышенных нагрузках</w:t>
      </w:r>
      <w:r w:rsidRPr="00D82BFA">
        <w:rPr>
          <w:rFonts w:ascii="Times New Roman" w:hAnsi="Times New Roman" w:cs="Times New Roman"/>
          <w:sz w:val="23"/>
          <w:szCs w:val="23"/>
        </w:rPr>
        <w:t xml:space="preserve"> по 15-20 мл </w:t>
      </w:r>
    </w:p>
    <w:p w14:paraId="58E0285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(60-80 мг) в сутки в течение 1-1,5 месяцев, для спортсменов в той же дозе в течение 2 недель </w:t>
      </w:r>
    </w:p>
    <w:p w14:paraId="2A7987CD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тренировочного периода. </w:t>
      </w:r>
    </w:p>
    <w:p w14:paraId="135B7B4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При алкоголизме в период абстиненции</w:t>
      </w:r>
      <w:r w:rsidRPr="00D82BFA">
        <w:rPr>
          <w:rFonts w:ascii="Times New Roman" w:hAnsi="Times New Roman" w:cs="Times New Roman"/>
          <w:sz w:val="23"/>
          <w:szCs w:val="23"/>
        </w:rPr>
        <w:t xml:space="preserve"> – 25-37,5 мл (100-150 мг) в сутки, коротким </w:t>
      </w:r>
    </w:p>
    <w:p w14:paraId="3795D273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курсом 6-7 дней; при более стойких нарушениях вне абстиненции суточная доза 10-15 мл </w:t>
      </w:r>
    </w:p>
    <w:p w14:paraId="09B75654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(40-60 мг) в течение 4-5 недель. </w:t>
      </w:r>
    </w:p>
    <w:p w14:paraId="5977921B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B2CFB7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Побочное действие </w:t>
      </w:r>
    </w:p>
    <w:p w14:paraId="67B8B08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Для определения частоты возникновения побочных эффектов препарата применяют </w:t>
      </w:r>
    </w:p>
    <w:p w14:paraId="33599EF0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следующую классификацию: очень часто (≥ 1/10); часто (≥ 1/100 и </w:t>
      </w:r>
      <w:proofErr w:type="gramStart"/>
      <w:r w:rsidRPr="00D82BFA">
        <w:rPr>
          <w:rFonts w:ascii="Times New Roman" w:hAnsi="Times New Roman" w:cs="Times New Roman"/>
          <w:sz w:val="23"/>
          <w:szCs w:val="23"/>
        </w:rPr>
        <w:t>&lt; 1</w:t>
      </w:r>
      <w:proofErr w:type="gramEnd"/>
      <w:r w:rsidRPr="00D82BFA">
        <w:rPr>
          <w:rFonts w:ascii="Times New Roman" w:hAnsi="Times New Roman" w:cs="Times New Roman"/>
          <w:sz w:val="23"/>
          <w:szCs w:val="23"/>
        </w:rPr>
        <w:t xml:space="preserve">/10); нечасто </w:t>
      </w:r>
    </w:p>
    <w:p w14:paraId="103319E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(≥ 1/1000 и </w:t>
      </w:r>
      <w:proofErr w:type="gramStart"/>
      <w:r w:rsidRPr="00D82BFA">
        <w:rPr>
          <w:rFonts w:ascii="Times New Roman" w:hAnsi="Times New Roman" w:cs="Times New Roman"/>
          <w:sz w:val="23"/>
          <w:szCs w:val="23"/>
        </w:rPr>
        <w:t>&lt; 1</w:t>
      </w:r>
      <w:proofErr w:type="gramEnd"/>
      <w:r w:rsidRPr="00D82BFA">
        <w:rPr>
          <w:rFonts w:ascii="Times New Roman" w:hAnsi="Times New Roman" w:cs="Times New Roman"/>
          <w:sz w:val="23"/>
          <w:szCs w:val="23"/>
        </w:rPr>
        <w:t xml:space="preserve">/100); редко (≥ 1/10000 и &lt; 1/1000); очень редко (&lt; 1/10000); частота </w:t>
      </w:r>
    </w:p>
    <w:p w14:paraId="1374AB8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неизвестна (не может быть установлена на основании имеющихся данных). </w:t>
      </w:r>
    </w:p>
    <w:p w14:paraId="7DE504E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Со стороны иммунной системы </w:t>
      </w:r>
    </w:p>
    <w:p w14:paraId="55F9E7DC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частота неизвестна: аллергические реакции (кожная сыпь, зуд). </w:t>
      </w:r>
    </w:p>
    <w:p w14:paraId="6F40C9F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Со стороны нервной системы: </w:t>
      </w:r>
    </w:p>
    <w:p w14:paraId="23903FC1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частота неизвестна: головокружение, головная боль, раздражительность, тревога, </w:t>
      </w:r>
    </w:p>
    <w:p w14:paraId="6FEA85E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возбуждение. </w:t>
      </w:r>
    </w:p>
    <w:p w14:paraId="131F26D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Со стороны желудочно-кишечного тракта: </w:t>
      </w:r>
    </w:p>
    <w:p w14:paraId="2D21C3C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частота неизвестна: легкая тошнота. </w:t>
      </w:r>
    </w:p>
    <w:p w14:paraId="0360493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 появлении вышеперечисленных признаков немедленно обратитесь к врачу. </w:t>
      </w:r>
    </w:p>
    <w:p w14:paraId="1FE584FF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32BDF1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Передозировка </w:t>
      </w:r>
    </w:p>
    <w:p w14:paraId="051A2E8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Симптомы </w:t>
      </w:r>
    </w:p>
    <w:p w14:paraId="5877BB3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Усиление выраженности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дозозависимых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побочных эффектов. </w:t>
      </w:r>
    </w:p>
    <w:p w14:paraId="04564CC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Лечение </w:t>
      </w:r>
    </w:p>
    <w:p w14:paraId="7DCD3F2B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Симптоматическое. </w:t>
      </w:r>
    </w:p>
    <w:p w14:paraId="45FD47A3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Взаимодействие с другими лекарственными средствами </w:t>
      </w:r>
    </w:p>
    <w:p w14:paraId="20B20B2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Сокращает время действия барбитуратов, усиливает действие опиоидных анальгетиков. </w:t>
      </w:r>
    </w:p>
    <w:p w14:paraId="696300A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Особые указания </w:t>
      </w:r>
    </w:p>
    <w:p w14:paraId="161D01E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Перед началом приема препарата необходимо проконсультироваться с врачом. </w:t>
      </w:r>
    </w:p>
    <w:p w14:paraId="71DFB337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DEB482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Влияние на способность управлять транспортными средствами, механизмами </w:t>
      </w:r>
    </w:p>
    <w:p w14:paraId="363CE8A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связи с возможностью возникновения головокружения и других побочных эффектов, </w:t>
      </w:r>
    </w:p>
    <w:p w14:paraId="59B5FD4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связанных с приемом препарата, в период лечения пациентам рекомендуется воздержаться </w:t>
      </w:r>
    </w:p>
    <w:p w14:paraId="35C23F8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от управления автотранспортом и занятий другими потенциально опасными видами </w:t>
      </w:r>
    </w:p>
    <w:p w14:paraId="780BAA0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деятельности, требующими повышенной концентрации внимания и быстроты </w:t>
      </w:r>
    </w:p>
    <w:p w14:paraId="7286D124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психомоторных и двигательных реакций. </w:t>
      </w:r>
    </w:p>
    <w:p w14:paraId="391242FF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CA1004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Форма выпуска </w:t>
      </w:r>
    </w:p>
    <w:p w14:paraId="1794CD95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Раствор для приема внутрь, 4 мг/мл. </w:t>
      </w:r>
    </w:p>
    <w:p w14:paraId="429F9788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По 100 мл или 200 мл во флакон из темного стекла, укупоренный полимерной крышкой из </w:t>
      </w:r>
    </w:p>
    <w:p w14:paraId="7F85246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полиэтилена низкого давления с контролем первого вскрытия и защитой от вскрытия </w:t>
      </w:r>
    </w:p>
    <w:p w14:paraId="31D2881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детьми. </w:t>
      </w:r>
    </w:p>
    <w:p w14:paraId="74BCB4BF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По 200 мл во флакон полимерный из полиэтилена</w:t>
      </w:r>
      <w:r w:rsidR="00074022">
        <w:rPr>
          <w:rFonts w:ascii="Times New Roman" w:hAnsi="Times New Roman" w:cs="Times New Roman"/>
          <w:sz w:val="23"/>
          <w:szCs w:val="23"/>
        </w:rPr>
        <w:t xml:space="preserve"> низкого давления, укупоренный </w:t>
      </w:r>
      <w:r w:rsidRPr="00D82BFA">
        <w:rPr>
          <w:rFonts w:ascii="Times New Roman" w:hAnsi="Times New Roman" w:cs="Times New Roman"/>
          <w:sz w:val="23"/>
          <w:szCs w:val="23"/>
        </w:rPr>
        <w:t>полимерной крышкой из полиэтилена низкого давления с контролем первого вскрытия.</w:t>
      </w:r>
    </w:p>
    <w:p w14:paraId="066EF90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На флакон наклеивают этикетку самоклеящуюся.</w:t>
      </w:r>
    </w:p>
    <w:p w14:paraId="6A543BE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1 флакон с мерной ложкой и инструкцией по применению помещают в пачку из картона.</w:t>
      </w:r>
    </w:p>
    <w:p w14:paraId="3C8B4697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61FECB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Условия хранения </w:t>
      </w:r>
    </w:p>
    <w:p w14:paraId="51C9FF5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 температуре не выше 25 °С в оригинальной упаковке (флакон в пачке). </w:t>
      </w:r>
    </w:p>
    <w:p w14:paraId="4D5600B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Хранить в недоступном для детей месте. </w:t>
      </w:r>
    </w:p>
    <w:p w14:paraId="7766C206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C2E53F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Срок годности </w:t>
      </w:r>
    </w:p>
    <w:p w14:paraId="585736D1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3 года. </w:t>
      </w:r>
    </w:p>
    <w:p w14:paraId="24DEC9D7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Не применять по истечении срока годности. </w:t>
      </w:r>
    </w:p>
    <w:p w14:paraId="11F215C0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F3915A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Условия отпуска </w:t>
      </w:r>
    </w:p>
    <w:p w14:paraId="1C009CA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Отпускают по рецепту. </w:t>
      </w:r>
    </w:p>
    <w:p w14:paraId="5E85BB15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B66F25D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Владелец регистрационного удостоверения/ организация, принимающая претензии </w:t>
      </w:r>
    </w:p>
    <w:p w14:paraId="476CBC8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потребителей </w:t>
      </w:r>
    </w:p>
    <w:p w14:paraId="3189E369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Открытое акционерное общество "Фармстандарт-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Лексредства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" </w:t>
      </w:r>
    </w:p>
    <w:p w14:paraId="11E5EE7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lastRenderedPageBreak/>
        <w:t>(ОАО "Фармстандарт-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Лексредства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"), Россия </w:t>
      </w:r>
    </w:p>
    <w:p w14:paraId="3CFB05DB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305022, Курская обл., г. Курск, ул. 2-я Агрегатная, д. 1а/18, </w:t>
      </w:r>
    </w:p>
    <w:p w14:paraId="051C713D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тел./факс: (4712) 34-03-13, </w:t>
      </w:r>
    </w:p>
    <w:p w14:paraId="2F30D9FF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www.pharmstd.ru </w:t>
      </w:r>
    </w:p>
    <w:p w14:paraId="0027E541" w14:textId="77777777"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592AB62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Производитель </w:t>
      </w:r>
    </w:p>
    <w:p w14:paraId="36C58DF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Открытое акционерное общество "Фармстандарт-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Лексредства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" </w:t>
      </w:r>
    </w:p>
    <w:p w14:paraId="53E524BE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(ОАО "Фармстандарт-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Лексредства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"), Россия </w:t>
      </w:r>
    </w:p>
    <w:p w14:paraId="18BF666A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Курская обл., г. Курск, ул. 2-я Агрегатная, д. 1а/18, </w:t>
      </w:r>
    </w:p>
    <w:p w14:paraId="01C8BEBD" w14:textId="77777777"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тел./факс: (4712) 34-03-13, </w:t>
      </w:r>
    </w:p>
    <w:p w14:paraId="0D49FE0E" w14:textId="77777777" w:rsidR="00D82BFA" w:rsidRPr="00125264" w:rsidRDefault="0092528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hyperlink r:id="rId8" w:history="1">
        <w:r w:rsidRPr="00F05BBF">
          <w:rPr>
            <w:rStyle w:val="a4"/>
            <w:rFonts w:ascii="Times New Roman" w:hAnsi="Times New Roman" w:cs="Times New Roman"/>
            <w:sz w:val="23"/>
            <w:szCs w:val="23"/>
          </w:rPr>
          <w:t>www.pharmstd.ru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D82BFA" w:rsidRPr="0012526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87AB6" w14:textId="77777777" w:rsidR="00DD3DB7" w:rsidRDefault="00DD3DB7" w:rsidP="00E15143">
      <w:pPr>
        <w:spacing w:after="0" w:line="240" w:lineRule="auto"/>
      </w:pPr>
      <w:r>
        <w:separator/>
      </w:r>
    </w:p>
  </w:endnote>
  <w:endnote w:type="continuationSeparator" w:id="0">
    <w:p w14:paraId="38870BBC" w14:textId="77777777" w:rsidR="00DD3DB7" w:rsidRDefault="00DD3DB7" w:rsidP="00E1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9076022"/>
      <w:docPartObj>
        <w:docPartGallery w:val="Page Numbers (Bottom of Page)"/>
        <w:docPartUnique/>
      </w:docPartObj>
    </w:sdtPr>
    <w:sdtContent>
      <w:p w14:paraId="785131E9" w14:textId="77777777" w:rsidR="00E15143" w:rsidRDefault="00E1514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14:paraId="5DF4B54C" w14:textId="77777777" w:rsidR="00E15143" w:rsidRDefault="00E151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C5D20" w14:textId="77777777" w:rsidR="00DD3DB7" w:rsidRDefault="00DD3DB7" w:rsidP="00E15143">
      <w:pPr>
        <w:spacing w:after="0" w:line="240" w:lineRule="auto"/>
      </w:pPr>
      <w:r>
        <w:separator/>
      </w:r>
    </w:p>
  </w:footnote>
  <w:footnote w:type="continuationSeparator" w:id="0">
    <w:p w14:paraId="1C625DAE" w14:textId="77777777" w:rsidR="00DD3DB7" w:rsidRDefault="00DD3DB7" w:rsidP="00E15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0F5C9E"/>
    <w:multiLevelType w:val="hybridMultilevel"/>
    <w:tmpl w:val="A080D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952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264"/>
    <w:rsid w:val="00074022"/>
    <w:rsid w:val="000C55D7"/>
    <w:rsid w:val="000D4EDE"/>
    <w:rsid w:val="00125264"/>
    <w:rsid w:val="00173CB6"/>
    <w:rsid w:val="004856DB"/>
    <w:rsid w:val="00693628"/>
    <w:rsid w:val="00702DC5"/>
    <w:rsid w:val="008E6E28"/>
    <w:rsid w:val="00925284"/>
    <w:rsid w:val="009D2C2D"/>
    <w:rsid w:val="00A274A4"/>
    <w:rsid w:val="00D82BFA"/>
    <w:rsid w:val="00D85A2F"/>
    <w:rsid w:val="00DD3DB7"/>
    <w:rsid w:val="00E15143"/>
    <w:rsid w:val="00E37034"/>
    <w:rsid w:val="00ED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6B84"/>
  <w15:chartTrackingRefBased/>
  <w15:docId w15:val="{9FA9C8E8-82CD-4B88-B1F3-82E3EF1E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26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402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1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5143"/>
  </w:style>
  <w:style w:type="paragraph" w:styleId="a7">
    <w:name w:val="footer"/>
    <w:basedOn w:val="a"/>
    <w:link w:val="a8"/>
    <w:uiPriority w:val="99"/>
    <w:unhideWhenUsed/>
    <w:rsid w:val="00E1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5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armst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8A47C-90AB-4BE0-8B07-EAEC58B1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Pharmstandart</Company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Екатерина Вячеславовна</dc:creator>
  <cp:keywords/>
  <dc:description/>
  <cp:lastModifiedBy>Сергей Тихомиров</cp:lastModifiedBy>
  <cp:revision>2</cp:revision>
  <dcterms:created xsi:type="dcterms:W3CDTF">2024-11-19T11:42:00Z</dcterms:created>
  <dcterms:modified xsi:type="dcterms:W3CDTF">2024-11-19T11:42:00Z</dcterms:modified>
</cp:coreProperties>
</file>